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04" w:rsidRPr="00245458" w:rsidRDefault="00772604" w:rsidP="00772604">
      <w:pPr>
        <w:ind w:left="240"/>
        <w:jc w:val="center"/>
        <w:rPr>
          <w:rFonts w:ascii="Arial" w:hAnsi="Arial" w:cs="Arial"/>
          <w:b/>
          <w:sz w:val="20"/>
        </w:rPr>
      </w:pPr>
      <w:r w:rsidRPr="00245458">
        <w:rPr>
          <w:rFonts w:ascii="Arial" w:hAnsi="Arial" w:cs="Arial"/>
          <w:b/>
          <w:sz w:val="20"/>
        </w:rPr>
        <w:t>INVITATION FOR TENDERS</w:t>
      </w:r>
    </w:p>
    <w:p w:rsidR="00772604" w:rsidRPr="00245458" w:rsidRDefault="00772604" w:rsidP="00772604">
      <w:pPr>
        <w:tabs>
          <w:tab w:val="left" w:pos="5104"/>
        </w:tabs>
        <w:spacing w:before="120"/>
        <w:ind w:left="238"/>
        <w:jc w:val="center"/>
        <w:rPr>
          <w:rFonts w:ascii="Arial" w:hAnsi="Arial" w:cs="Arial"/>
          <w:b/>
          <w:sz w:val="20"/>
        </w:rPr>
      </w:pPr>
      <w:r w:rsidRPr="00245458">
        <w:rPr>
          <w:rFonts w:ascii="Arial" w:hAnsi="Arial" w:cs="Arial"/>
          <w:b/>
          <w:sz w:val="20"/>
        </w:rPr>
        <w:t>Republic of Armenia</w:t>
      </w:r>
    </w:p>
    <w:p w:rsidR="00772604" w:rsidRPr="00245458" w:rsidRDefault="00772604" w:rsidP="00772604">
      <w:pPr>
        <w:spacing w:before="120"/>
        <w:ind w:left="238"/>
        <w:jc w:val="center"/>
        <w:rPr>
          <w:rFonts w:ascii="Arial" w:hAnsi="Arial" w:cs="Arial"/>
          <w:b/>
          <w:sz w:val="20"/>
        </w:rPr>
      </w:pPr>
      <w:r w:rsidRPr="00245458">
        <w:rPr>
          <w:rFonts w:ascii="Arial" w:hAnsi="Arial" w:cs="Arial"/>
          <w:b/>
          <w:sz w:val="20"/>
        </w:rPr>
        <w:t xml:space="preserve">“Installation of 3 new pumps in </w:t>
      </w:r>
      <w:proofErr w:type="spellStart"/>
      <w:r w:rsidRPr="00245458">
        <w:rPr>
          <w:rFonts w:ascii="Arial" w:hAnsi="Arial" w:cs="Arial"/>
          <w:b/>
          <w:sz w:val="20"/>
        </w:rPr>
        <w:t>Araratyan</w:t>
      </w:r>
      <w:proofErr w:type="spellEnd"/>
      <w:r w:rsidRPr="00245458">
        <w:rPr>
          <w:rFonts w:ascii="Arial" w:hAnsi="Arial" w:cs="Arial"/>
          <w:b/>
          <w:sz w:val="20"/>
        </w:rPr>
        <w:t xml:space="preserve"> pumping station”, “Construction of the pipeline starting from the cemetery in </w:t>
      </w:r>
      <w:proofErr w:type="spellStart"/>
      <w:r w:rsidRPr="00245458">
        <w:rPr>
          <w:rFonts w:ascii="Arial" w:hAnsi="Arial" w:cs="Arial"/>
          <w:b/>
          <w:sz w:val="20"/>
        </w:rPr>
        <w:t>Balahovit</w:t>
      </w:r>
      <w:proofErr w:type="spellEnd"/>
      <w:r w:rsidRPr="00245458">
        <w:rPr>
          <w:rFonts w:ascii="Arial" w:hAnsi="Arial" w:cs="Arial"/>
          <w:b/>
          <w:sz w:val="20"/>
        </w:rPr>
        <w:t xml:space="preserve"> community to the multi-storey buildings of the military unit; connection of customers’ pipelines to the new pipeline and replacement of the water metering units to the demarcation point” and “Construction of water distribution network of </w:t>
      </w:r>
      <w:proofErr w:type="spellStart"/>
      <w:r w:rsidRPr="00245458">
        <w:rPr>
          <w:rFonts w:ascii="Arial" w:hAnsi="Arial" w:cs="Arial"/>
          <w:b/>
          <w:sz w:val="20"/>
        </w:rPr>
        <w:t>Pirumyan</w:t>
      </w:r>
      <w:proofErr w:type="spellEnd"/>
      <w:r w:rsidRPr="00245458">
        <w:rPr>
          <w:rFonts w:ascii="Arial" w:hAnsi="Arial" w:cs="Arial"/>
          <w:b/>
          <w:sz w:val="20"/>
        </w:rPr>
        <w:t xml:space="preserve"> district” </w:t>
      </w:r>
    </w:p>
    <w:p w:rsidR="00772604" w:rsidRPr="00245458" w:rsidRDefault="00CC43CD" w:rsidP="00772604">
      <w:pPr>
        <w:spacing w:before="120"/>
        <w:ind w:left="238"/>
        <w:jc w:val="center"/>
        <w:rPr>
          <w:rFonts w:ascii="Arial" w:hAnsi="Arial" w:cs="Arial"/>
          <w:b/>
          <w:sz w:val="20"/>
        </w:rPr>
      </w:pPr>
      <w:r w:rsidRPr="00245458">
        <w:rPr>
          <w:rFonts w:ascii="Arial" w:hAnsi="Arial" w:cs="Arial"/>
          <w:b/>
          <w:sz w:val="20"/>
        </w:rPr>
        <w:t>YWIP/</w:t>
      </w:r>
      <w:proofErr w:type="spellStart"/>
      <w:r w:rsidRPr="00245458">
        <w:rPr>
          <w:rFonts w:ascii="Arial" w:hAnsi="Arial" w:cs="Arial"/>
          <w:b/>
          <w:sz w:val="20"/>
        </w:rPr>
        <w:t>Ara</w:t>
      </w:r>
      <w:r w:rsidR="00772604" w:rsidRPr="00245458">
        <w:rPr>
          <w:rFonts w:ascii="Arial" w:hAnsi="Arial" w:cs="Arial"/>
          <w:b/>
          <w:sz w:val="20"/>
        </w:rPr>
        <w:t>Wks</w:t>
      </w:r>
      <w:proofErr w:type="spellEnd"/>
      <w:r w:rsidR="00772604" w:rsidRPr="00245458">
        <w:rPr>
          <w:rFonts w:ascii="Arial" w:hAnsi="Arial" w:cs="Arial"/>
          <w:b/>
          <w:sz w:val="20"/>
        </w:rPr>
        <w:t>/10</w:t>
      </w:r>
    </w:p>
    <w:p w:rsidR="00772604" w:rsidRPr="00245458" w:rsidRDefault="00772604" w:rsidP="00772604">
      <w:pPr>
        <w:jc w:val="center"/>
        <w:rPr>
          <w:rFonts w:ascii="Arial" w:hAnsi="Arial" w:cs="Arial"/>
          <w:b/>
          <w:sz w:val="20"/>
        </w:rPr>
      </w:pPr>
    </w:p>
    <w:p w:rsidR="00772604" w:rsidRPr="00245458" w:rsidRDefault="00772604" w:rsidP="00772604">
      <w:pPr>
        <w:pStyle w:val="List"/>
        <w:spacing w:before="0" w:after="0"/>
        <w:ind w:left="270"/>
        <w:rPr>
          <w:rFonts w:ascii="Arial" w:hAnsi="Arial" w:cs="Arial"/>
          <w:sz w:val="20"/>
          <w:lang w:val="en-GB"/>
        </w:rPr>
      </w:pPr>
      <w:r w:rsidRPr="00245458">
        <w:rPr>
          <w:rFonts w:ascii="Arial" w:hAnsi="Arial" w:cs="Arial"/>
          <w:sz w:val="20"/>
          <w:lang w:val="en-GB"/>
        </w:rPr>
        <w:t xml:space="preserve">The Republic of Armenia has received financing from the European Bank for Reconstruction and Development (“EBRD”) in the form of a loan toward the cost of Yerevan Water Supply Improvement Project. The European Union </w:t>
      </w:r>
      <w:proofErr w:type="spellStart"/>
      <w:r w:rsidRPr="00245458">
        <w:rPr>
          <w:rFonts w:ascii="Arial" w:hAnsi="Arial" w:cs="Arial"/>
          <w:sz w:val="20"/>
          <w:lang w:val="en-GB"/>
        </w:rPr>
        <w:t>Neighborhood</w:t>
      </w:r>
      <w:proofErr w:type="spellEnd"/>
      <w:r w:rsidRPr="00245458">
        <w:rPr>
          <w:rFonts w:ascii="Arial" w:hAnsi="Arial" w:cs="Arial"/>
          <w:sz w:val="20"/>
          <w:lang w:val="en-GB"/>
        </w:rPr>
        <w:t xml:space="preserve"> Investment Facility ('NIF") and European Investment Bank ("EIB") make co-financing of the above-mentioned Project. Currently the Armenian Territorial Development Fund (ATDF), an implementing agency t</w:t>
      </w:r>
      <w:r w:rsidR="00ED14CB" w:rsidRPr="00245458">
        <w:rPr>
          <w:rFonts w:ascii="Sylfaen" w:hAnsi="Sylfaen" w:cs="Sylfaen"/>
          <w:sz w:val="20"/>
          <w:lang w:val="hy-AM"/>
        </w:rPr>
        <w:t>հ</w:t>
      </w:r>
      <w:r w:rsidRPr="00245458">
        <w:rPr>
          <w:rFonts w:ascii="Arial" w:hAnsi="Arial" w:cs="Arial"/>
          <w:sz w:val="20"/>
          <w:lang w:val="en-GB"/>
        </w:rPr>
        <w:t>rough Water Sector Projects Implementation Branch ATDF WS PIB (the "Employer"), intends to apply a portion of the proceeds of this Loan to eligible payments under the contract for which this invitation is issued. Under subject contract the payment will be done from European Investment Bank ("EIB" or “Bank”) co-financing part.</w:t>
      </w:r>
    </w:p>
    <w:p w:rsidR="00772604" w:rsidRPr="00245458" w:rsidRDefault="00772604" w:rsidP="00772604">
      <w:pPr>
        <w:spacing w:before="120" w:after="120"/>
        <w:ind w:left="240"/>
        <w:rPr>
          <w:rFonts w:ascii="Arial" w:hAnsi="Arial" w:cs="Arial"/>
          <w:sz w:val="20"/>
        </w:rPr>
      </w:pPr>
      <w:r w:rsidRPr="00245458">
        <w:rPr>
          <w:rFonts w:ascii="Arial" w:hAnsi="Arial" w:cs="Arial"/>
          <w:sz w:val="20"/>
        </w:rPr>
        <w:t>The Employer now invites sealed tenders from contractors for the following contract:</w:t>
      </w:r>
    </w:p>
    <w:p w:rsidR="00772604" w:rsidRPr="00245458" w:rsidRDefault="00772604" w:rsidP="00772604">
      <w:pPr>
        <w:spacing w:before="120" w:after="120"/>
        <w:ind w:left="240"/>
        <w:rPr>
          <w:rFonts w:ascii="Arial" w:hAnsi="Arial" w:cs="Arial"/>
          <w:sz w:val="20"/>
        </w:rPr>
      </w:pPr>
      <w:r w:rsidRPr="00245458">
        <w:rPr>
          <w:rFonts w:ascii="Arial" w:hAnsi="Arial" w:cs="Arial"/>
          <w:b/>
          <w:sz w:val="20"/>
        </w:rPr>
        <w:t xml:space="preserve">“Installation of 3 new pumps in </w:t>
      </w:r>
      <w:proofErr w:type="spellStart"/>
      <w:r w:rsidRPr="00245458">
        <w:rPr>
          <w:rFonts w:ascii="Arial" w:hAnsi="Arial" w:cs="Arial"/>
          <w:b/>
          <w:sz w:val="20"/>
        </w:rPr>
        <w:t>Araratyan</w:t>
      </w:r>
      <w:proofErr w:type="spellEnd"/>
      <w:r w:rsidRPr="00245458">
        <w:rPr>
          <w:rFonts w:ascii="Arial" w:hAnsi="Arial" w:cs="Arial"/>
          <w:b/>
          <w:sz w:val="20"/>
        </w:rPr>
        <w:t xml:space="preserve"> pumping station”, “Construction of the pipeline starting from the cemetery in </w:t>
      </w:r>
      <w:proofErr w:type="spellStart"/>
      <w:r w:rsidRPr="00245458">
        <w:rPr>
          <w:rFonts w:ascii="Arial" w:hAnsi="Arial" w:cs="Arial"/>
          <w:b/>
          <w:sz w:val="20"/>
        </w:rPr>
        <w:t>Balahovit</w:t>
      </w:r>
      <w:proofErr w:type="spellEnd"/>
      <w:r w:rsidRPr="00245458">
        <w:rPr>
          <w:rFonts w:ascii="Arial" w:hAnsi="Arial" w:cs="Arial"/>
          <w:b/>
          <w:sz w:val="20"/>
        </w:rPr>
        <w:t xml:space="preserve"> community to the multi-storey buildings of the military unit; connection of customers’ pipelines to the new pipeline and replacement of the water metering units to the demarcation point and “Construction of water distribution network of </w:t>
      </w:r>
      <w:proofErr w:type="spellStart"/>
      <w:r w:rsidRPr="00245458">
        <w:rPr>
          <w:rFonts w:ascii="Arial" w:hAnsi="Arial" w:cs="Arial"/>
          <w:b/>
          <w:sz w:val="20"/>
        </w:rPr>
        <w:t>Pirumyan</w:t>
      </w:r>
      <w:proofErr w:type="spellEnd"/>
      <w:r w:rsidRPr="00245458">
        <w:rPr>
          <w:rFonts w:ascii="Arial" w:hAnsi="Arial" w:cs="Arial"/>
          <w:b/>
          <w:sz w:val="20"/>
        </w:rPr>
        <w:t xml:space="preserve"> district”.</w:t>
      </w:r>
    </w:p>
    <w:p w:rsidR="00772604" w:rsidRPr="00245458" w:rsidRDefault="00772604" w:rsidP="00772604">
      <w:pPr>
        <w:spacing w:before="120" w:after="120"/>
        <w:ind w:left="240"/>
        <w:rPr>
          <w:rFonts w:ascii="Arial" w:hAnsi="Arial" w:cs="Arial"/>
          <w:sz w:val="20"/>
        </w:rPr>
      </w:pPr>
      <w:r w:rsidRPr="00245458">
        <w:rPr>
          <w:rFonts w:ascii="Arial" w:hAnsi="Arial" w:cs="Arial"/>
          <w:sz w:val="20"/>
        </w:rPr>
        <w:t>The construction woks consist of:</w:t>
      </w:r>
    </w:p>
    <w:p w:rsidR="00772604" w:rsidRPr="00245458" w:rsidRDefault="00772604" w:rsidP="00772604">
      <w:pPr>
        <w:spacing w:before="120" w:after="120"/>
        <w:ind w:left="240"/>
        <w:rPr>
          <w:rFonts w:ascii="Arial" w:hAnsi="Arial" w:cs="Arial"/>
          <w:sz w:val="20"/>
        </w:rPr>
      </w:pPr>
      <w:r w:rsidRPr="00245458">
        <w:rPr>
          <w:rFonts w:ascii="Arial" w:hAnsi="Arial" w:cs="Arial"/>
          <w:sz w:val="20"/>
        </w:rPr>
        <w:t xml:space="preserve">Repairing of the Ararat 4th turn PS, including installation of 3 new pumps, replacement of pipes and valves, </w:t>
      </w:r>
      <w:r w:rsidR="00784D5E" w:rsidRPr="00245458">
        <w:rPr>
          <w:rFonts w:ascii="Arial" w:hAnsi="Arial" w:cs="Arial"/>
          <w:sz w:val="20"/>
          <w:lang w:val="en-US"/>
        </w:rPr>
        <w:t xml:space="preserve">and </w:t>
      </w:r>
      <w:r w:rsidRPr="00245458">
        <w:rPr>
          <w:rFonts w:ascii="Arial" w:hAnsi="Arial" w:cs="Arial"/>
          <w:sz w:val="20"/>
        </w:rPr>
        <w:t xml:space="preserve">installation of 2 submersible drainage pumps. Reconstruction of the water supply distribution network of </w:t>
      </w:r>
      <w:proofErr w:type="spellStart"/>
      <w:r w:rsidRPr="00245458">
        <w:rPr>
          <w:rFonts w:ascii="Arial" w:hAnsi="Arial" w:cs="Arial"/>
          <w:sz w:val="20"/>
        </w:rPr>
        <w:t>Balahovit</w:t>
      </w:r>
      <w:proofErr w:type="spellEnd"/>
      <w:r w:rsidRPr="00245458">
        <w:rPr>
          <w:rFonts w:ascii="Arial" w:hAnsi="Arial" w:cs="Arial"/>
          <w:sz w:val="20"/>
        </w:rPr>
        <w:t xml:space="preserve"> community, including DN200(HDPE)÷DN63(HDPE) about 1.7km long water lines, a total of 13, including 11 valves, 2 underground fire hydrant chambers, as well as replacement of 162 private houses and public facilities with polyethylene pipes of about 1.7 km and DN25-DN40 diameter, with the installation of polymer sand and r/c individual water metering chambers.</w:t>
      </w:r>
    </w:p>
    <w:p w:rsidR="00772604" w:rsidRPr="00245458" w:rsidRDefault="00772604" w:rsidP="00772604">
      <w:pPr>
        <w:spacing w:before="120" w:after="120"/>
        <w:ind w:left="240"/>
        <w:rPr>
          <w:rFonts w:ascii="Arial" w:hAnsi="Arial" w:cs="Arial"/>
          <w:sz w:val="20"/>
        </w:rPr>
      </w:pPr>
      <w:r w:rsidRPr="00245458">
        <w:rPr>
          <w:rFonts w:ascii="Arial" w:hAnsi="Arial" w:cs="Arial"/>
          <w:sz w:val="20"/>
        </w:rPr>
        <w:t xml:space="preserve">Reconstruction of the water supply distribution network of </w:t>
      </w:r>
      <w:proofErr w:type="spellStart"/>
      <w:r w:rsidRPr="00245458">
        <w:rPr>
          <w:rFonts w:ascii="Arial" w:hAnsi="Arial" w:cs="Arial"/>
          <w:sz w:val="20"/>
        </w:rPr>
        <w:t>Pirumyan</w:t>
      </w:r>
      <w:proofErr w:type="spellEnd"/>
      <w:r w:rsidRPr="00245458">
        <w:rPr>
          <w:rFonts w:ascii="Arial" w:hAnsi="Arial" w:cs="Arial"/>
          <w:sz w:val="20"/>
        </w:rPr>
        <w:t xml:space="preserve"> district, including DN110(HDPE)÷DN50(HDPE) water lines with a length of about 1.15 km, a total of 5, including 4 valves and 1 underground fire hydrant chambers, as well as replacement of inlet lines of  90 private houses and public facilities with polyethylene pipes of about 0.8 km DN25-DN40 diameter, with the installation of polymer sand and r/c individual water metering chambers.</w:t>
      </w:r>
    </w:p>
    <w:p w:rsidR="00772604" w:rsidRPr="00245458" w:rsidRDefault="00772604" w:rsidP="00772604">
      <w:pPr>
        <w:ind w:left="240"/>
        <w:rPr>
          <w:rFonts w:ascii="Arial" w:hAnsi="Arial" w:cs="Arial"/>
          <w:sz w:val="20"/>
        </w:rPr>
      </w:pPr>
      <w:r w:rsidRPr="00245458">
        <w:rPr>
          <w:rFonts w:ascii="Arial" w:hAnsi="Arial" w:cs="Arial"/>
          <w:sz w:val="20"/>
        </w:rPr>
        <w:t xml:space="preserve">The works shall be executed within 7 </w:t>
      </w:r>
      <w:proofErr w:type="spellStart"/>
      <w:r w:rsidRPr="00245458">
        <w:rPr>
          <w:rFonts w:ascii="Arial" w:hAnsi="Arial" w:cs="Arial"/>
          <w:sz w:val="20"/>
        </w:rPr>
        <w:t>mont</w:t>
      </w:r>
      <w:proofErr w:type="spellEnd"/>
      <w:r w:rsidRPr="00245458">
        <w:rPr>
          <w:rFonts w:ascii="Arial" w:hAnsi="Arial" w:cs="Arial"/>
          <w:sz w:val="20"/>
          <w:lang w:val="en-US"/>
        </w:rPr>
        <w:t>h</w:t>
      </w:r>
      <w:r w:rsidRPr="00245458">
        <w:rPr>
          <w:rFonts w:ascii="Arial" w:hAnsi="Arial" w:cs="Arial"/>
          <w:sz w:val="20"/>
        </w:rPr>
        <w:t>s (excluding winter break)</w:t>
      </w:r>
    </w:p>
    <w:p w:rsidR="00772604" w:rsidRPr="00245458" w:rsidRDefault="00772604" w:rsidP="00772604">
      <w:pPr>
        <w:spacing w:before="120"/>
        <w:ind w:left="240"/>
        <w:rPr>
          <w:rFonts w:ascii="Arial" w:hAnsi="Arial" w:cs="Arial"/>
          <w:sz w:val="20"/>
        </w:rPr>
      </w:pPr>
      <w:r w:rsidRPr="00245458">
        <w:rPr>
          <w:rFonts w:ascii="Arial" w:hAnsi="Arial" w:cs="Arial"/>
          <w:sz w:val="20"/>
        </w:rPr>
        <w:t>To be qualified for the award of a contract, tenderers must satisfy the following minimum criteria:</w:t>
      </w:r>
    </w:p>
    <w:p w:rsidR="00772604" w:rsidRPr="00245458" w:rsidRDefault="00772604" w:rsidP="00772604">
      <w:pPr>
        <w:numPr>
          <w:ilvl w:val="0"/>
          <w:numId w:val="1"/>
        </w:numPr>
        <w:spacing w:before="120" w:after="120"/>
        <w:rPr>
          <w:rFonts w:ascii="Arial" w:hAnsi="Arial" w:cs="Arial"/>
          <w:sz w:val="20"/>
        </w:rPr>
      </w:pPr>
      <w:r w:rsidRPr="00245458">
        <w:rPr>
          <w:rFonts w:ascii="Arial" w:hAnsi="Arial" w:cs="Arial"/>
          <w:b/>
          <w:sz w:val="20"/>
        </w:rPr>
        <w:t xml:space="preserve">Historical non-performance: </w:t>
      </w:r>
      <w:r w:rsidRPr="00245458">
        <w:rPr>
          <w:rFonts w:ascii="Arial" w:hAnsi="Arial" w:cs="Arial"/>
          <w:sz w:val="20"/>
        </w:rPr>
        <w:t xml:space="preserve">Non-performance of a contract did not occur within the last five (5) years prior to the deadline for tender’s submission, based on all information on fully settled disputes or litigation. All pending litigation shall in total not represent more than ten </w:t>
      </w:r>
      <w:proofErr w:type="spellStart"/>
      <w:r w:rsidRPr="00245458">
        <w:rPr>
          <w:rFonts w:ascii="Arial" w:hAnsi="Arial" w:cs="Arial"/>
          <w:sz w:val="20"/>
        </w:rPr>
        <w:t>percent</w:t>
      </w:r>
      <w:proofErr w:type="spellEnd"/>
      <w:r w:rsidRPr="00245458">
        <w:rPr>
          <w:rFonts w:ascii="Arial" w:hAnsi="Arial" w:cs="Arial"/>
          <w:sz w:val="20"/>
        </w:rPr>
        <w:t xml:space="preserve"> (10 %) of the Tenderer’s net worth and shall be treated as resolved against the Tenderer.</w:t>
      </w:r>
    </w:p>
    <w:p w:rsidR="00772604" w:rsidRPr="00245458" w:rsidRDefault="00772604" w:rsidP="00772604">
      <w:pPr>
        <w:spacing w:before="120" w:after="120"/>
        <w:ind w:left="600"/>
        <w:rPr>
          <w:rFonts w:ascii="Arial" w:hAnsi="Arial" w:cs="Arial"/>
          <w:color w:val="000000"/>
          <w:sz w:val="20"/>
        </w:rPr>
      </w:pPr>
      <w:r w:rsidRPr="00245458">
        <w:rPr>
          <w:rFonts w:ascii="Arial" w:hAnsi="Arial" w:cs="Arial"/>
          <w:color w:val="000000"/>
          <w:sz w:val="20"/>
        </w:rPr>
        <w:t>If a Tenderer is a JV, Consortium or Association, each partner must meet the requirement.</w:t>
      </w:r>
    </w:p>
    <w:p w:rsidR="00772604" w:rsidRPr="00245458" w:rsidRDefault="00772604" w:rsidP="00772604">
      <w:pPr>
        <w:numPr>
          <w:ilvl w:val="0"/>
          <w:numId w:val="1"/>
        </w:numPr>
        <w:spacing w:before="120" w:after="120"/>
        <w:rPr>
          <w:rFonts w:ascii="Arial" w:hAnsi="Arial" w:cs="Arial"/>
          <w:sz w:val="20"/>
        </w:rPr>
      </w:pPr>
      <w:r w:rsidRPr="00245458">
        <w:rPr>
          <w:rFonts w:ascii="Arial" w:hAnsi="Arial" w:cs="Arial"/>
          <w:b/>
          <w:sz w:val="20"/>
        </w:rPr>
        <w:t xml:space="preserve">Historical financial performance: </w:t>
      </w:r>
      <w:r w:rsidRPr="00245458">
        <w:rPr>
          <w:rFonts w:ascii="Arial" w:hAnsi="Arial" w:cs="Arial"/>
          <w:sz w:val="20"/>
        </w:rPr>
        <w:t>The audited balance sheets for the last five (5) years shall be submitted and must demonstrate the soundness of the Tenderer’s financial position, showing long-term profitability</w:t>
      </w:r>
    </w:p>
    <w:p w:rsidR="00772604" w:rsidRPr="00245458" w:rsidRDefault="00772604" w:rsidP="00772604">
      <w:pPr>
        <w:spacing w:before="120" w:after="120"/>
        <w:ind w:left="600"/>
        <w:rPr>
          <w:rFonts w:ascii="Arial" w:hAnsi="Arial" w:cs="Arial"/>
          <w:color w:val="000000"/>
          <w:sz w:val="20"/>
        </w:rPr>
      </w:pPr>
      <w:r w:rsidRPr="00245458">
        <w:rPr>
          <w:rFonts w:ascii="Arial" w:hAnsi="Arial" w:cs="Arial"/>
          <w:color w:val="000000"/>
          <w:sz w:val="20"/>
        </w:rPr>
        <w:t>If a Tenderer is a JV, Consortium or Association, each partner must meet the requirement.</w:t>
      </w:r>
    </w:p>
    <w:p w:rsidR="00772604" w:rsidRPr="00245458" w:rsidRDefault="00772604" w:rsidP="00772604">
      <w:pPr>
        <w:pStyle w:val="ListParagraph"/>
        <w:numPr>
          <w:ilvl w:val="0"/>
          <w:numId w:val="1"/>
        </w:numPr>
        <w:spacing w:before="120" w:after="120"/>
        <w:rPr>
          <w:rFonts w:ascii="Arial" w:hAnsi="Arial" w:cs="Arial"/>
          <w:sz w:val="20"/>
        </w:rPr>
      </w:pPr>
      <w:r w:rsidRPr="00245458">
        <w:rPr>
          <w:rFonts w:ascii="Arial" w:hAnsi="Arial" w:cs="Arial"/>
          <w:b/>
          <w:sz w:val="20"/>
        </w:rPr>
        <w:t xml:space="preserve">Average Annual Turnover: </w:t>
      </w:r>
      <w:r w:rsidRPr="00245458">
        <w:rPr>
          <w:rFonts w:ascii="Arial" w:hAnsi="Arial" w:cs="Arial"/>
          <w:sz w:val="20"/>
        </w:rPr>
        <w:t xml:space="preserve">Minimum average annual construction turnover of </w:t>
      </w:r>
      <w:r w:rsidRPr="00245458">
        <w:rPr>
          <w:rFonts w:ascii="Arial" w:hAnsi="Arial" w:cs="Arial"/>
          <w:b/>
          <w:sz w:val="20"/>
        </w:rPr>
        <w:t>USD 2,900,000 (two million nine hundred thousand)</w:t>
      </w:r>
      <w:r w:rsidRPr="00245458">
        <w:rPr>
          <w:rFonts w:ascii="Arial" w:hAnsi="Arial" w:cs="Arial"/>
          <w:sz w:val="20"/>
        </w:rPr>
        <w:t xml:space="preserve"> equivalent</w:t>
      </w:r>
      <w:r w:rsidRPr="00245458">
        <w:rPr>
          <w:rFonts w:ascii="Arial" w:hAnsi="Arial" w:cs="Arial"/>
          <w:b/>
          <w:sz w:val="20"/>
        </w:rPr>
        <w:t>,</w:t>
      </w:r>
      <w:r w:rsidRPr="00245458">
        <w:rPr>
          <w:rFonts w:ascii="Arial" w:hAnsi="Arial" w:cs="Arial"/>
          <w:sz w:val="20"/>
        </w:rPr>
        <w:t xml:space="preserve"> calculated as total certified payments received for contracts in progress or completed, within the last five (5) years</w:t>
      </w:r>
    </w:p>
    <w:p w:rsidR="00772604" w:rsidRPr="00245458" w:rsidRDefault="00772604" w:rsidP="00772604">
      <w:pPr>
        <w:pStyle w:val="ListParagraph"/>
        <w:suppressAutoHyphens/>
        <w:ind w:left="600"/>
        <w:rPr>
          <w:rFonts w:ascii="Arial" w:hAnsi="Arial" w:cs="Arial"/>
          <w:color w:val="000000"/>
          <w:sz w:val="20"/>
        </w:rPr>
      </w:pPr>
      <w:r w:rsidRPr="00245458">
        <w:rPr>
          <w:rFonts w:ascii="Arial" w:hAnsi="Arial" w:cs="Arial"/>
          <w:color w:val="000000"/>
          <w:sz w:val="20"/>
        </w:rPr>
        <w:lastRenderedPageBreak/>
        <w:t>If a Tenderer is a JV, Consortium or Association, all partners combined must meet the requirement, each partner must meet at least 20% of the requirement, and one partner must meet at least 50% of the requirement.</w:t>
      </w:r>
    </w:p>
    <w:p w:rsidR="00772604" w:rsidRPr="00245458" w:rsidRDefault="00772604" w:rsidP="00772604">
      <w:pPr>
        <w:numPr>
          <w:ilvl w:val="0"/>
          <w:numId w:val="1"/>
        </w:numPr>
        <w:suppressAutoHyphens/>
        <w:spacing w:before="120" w:after="120"/>
        <w:rPr>
          <w:rFonts w:ascii="Arial" w:hAnsi="Arial" w:cs="Arial"/>
          <w:color w:val="000000"/>
          <w:sz w:val="20"/>
        </w:rPr>
      </w:pPr>
      <w:r w:rsidRPr="00245458">
        <w:rPr>
          <w:rFonts w:ascii="Arial" w:hAnsi="Arial" w:cs="Arial"/>
          <w:b/>
          <w:sz w:val="20"/>
        </w:rPr>
        <w:t xml:space="preserve">Financial Resources: </w:t>
      </w:r>
      <w:r w:rsidRPr="00245458">
        <w:rPr>
          <w:rFonts w:ascii="Arial" w:hAnsi="Arial" w:cs="Arial"/>
          <w:sz w:val="20"/>
          <w:lang w:val="en-US"/>
        </w:rPr>
        <w:t>The Tenderer must</w:t>
      </w:r>
      <w:r w:rsidRPr="00245458">
        <w:rPr>
          <w:rFonts w:ascii="Arial" w:hAnsi="Arial" w:cs="Arial"/>
          <w:bCs/>
          <w:iCs/>
          <w:sz w:val="20"/>
          <w:lang w:val="en-US"/>
        </w:rPr>
        <w:t xml:space="preserve"> </w:t>
      </w:r>
      <w:r w:rsidRPr="00245458">
        <w:rPr>
          <w:rFonts w:ascii="Arial" w:hAnsi="Arial" w:cs="Arial"/>
          <w:sz w:val="20"/>
          <w:lang w:val="en-US"/>
        </w:rPr>
        <w:t xml:space="preserve">demonstrate access to, or availability of, financial resources such as liquid assets, unencumbered real assets, lines of credit, and other financial means net of other contractual commitments, other than any contractual advance payments to meet the following cash-flow requirement: </w:t>
      </w:r>
      <w:r w:rsidRPr="00245458">
        <w:rPr>
          <w:rFonts w:ascii="Arial" w:hAnsi="Arial" w:cs="Arial"/>
          <w:b/>
          <w:sz w:val="20"/>
          <w:lang w:val="en-US"/>
        </w:rPr>
        <w:t xml:space="preserve">USD 480,000 </w:t>
      </w:r>
      <w:r w:rsidRPr="00245458">
        <w:rPr>
          <w:rFonts w:ascii="Arial" w:hAnsi="Arial" w:cs="Arial"/>
          <w:b/>
          <w:sz w:val="20"/>
        </w:rPr>
        <w:t>(four hundred eighty  thousand)</w:t>
      </w:r>
      <w:r w:rsidRPr="00245458">
        <w:rPr>
          <w:rFonts w:ascii="Arial" w:hAnsi="Arial" w:cs="Arial"/>
          <w:sz w:val="20"/>
          <w:lang w:val="en-US"/>
        </w:rPr>
        <w:t xml:space="preserve"> </w:t>
      </w:r>
      <w:r w:rsidRPr="00245458">
        <w:rPr>
          <w:rFonts w:ascii="Arial" w:hAnsi="Arial" w:cs="Arial"/>
          <w:sz w:val="20"/>
        </w:rPr>
        <w:t>equivalent</w:t>
      </w:r>
    </w:p>
    <w:p w:rsidR="00772604" w:rsidRPr="00245458" w:rsidRDefault="00772604" w:rsidP="00772604">
      <w:pPr>
        <w:suppressAutoHyphens/>
        <w:spacing w:before="120" w:after="120"/>
        <w:ind w:left="600"/>
        <w:rPr>
          <w:rFonts w:ascii="Arial" w:hAnsi="Arial" w:cs="Arial"/>
          <w:color w:val="000000"/>
          <w:sz w:val="20"/>
        </w:rPr>
      </w:pPr>
      <w:r w:rsidRPr="00245458">
        <w:rPr>
          <w:rFonts w:ascii="Arial" w:hAnsi="Arial" w:cs="Arial"/>
          <w:color w:val="000000"/>
          <w:sz w:val="20"/>
        </w:rPr>
        <w:t>If a Tenderer is a JV, Consortium or Association, all partners combined must meet the requirement, each partner must meet at least 20% of the requirement, and one partner must meet at least 50% of the requirement.</w:t>
      </w:r>
    </w:p>
    <w:p w:rsidR="00772604" w:rsidRPr="00245458" w:rsidRDefault="00772604" w:rsidP="00772604">
      <w:pPr>
        <w:numPr>
          <w:ilvl w:val="0"/>
          <w:numId w:val="1"/>
        </w:numPr>
        <w:spacing w:before="120" w:after="120"/>
        <w:rPr>
          <w:rFonts w:ascii="Arial" w:hAnsi="Arial" w:cs="Arial"/>
          <w:sz w:val="20"/>
        </w:rPr>
      </w:pPr>
      <w:r w:rsidRPr="00245458">
        <w:rPr>
          <w:rFonts w:ascii="Arial" w:hAnsi="Arial" w:cs="Arial"/>
          <w:b/>
          <w:bCs/>
          <w:sz w:val="20"/>
        </w:rPr>
        <w:t xml:space="preserve">Experience: </w:t>
      </w:r>
      <w:r w:rsidRPr="00245458">
        <w:rPr>
          <w:rFonts w:ascii="Arial" w:hAnsi="Arial" w:cs="Arial"/>
          <w:sz w:val="20"/>
        </w:rPr>
        <w:t xml:space="preserve">The Tenderer shall demonstrate that it has successful experience as prime contractor in the execution of at least </w:t>
      </w:r>
      <w:r w:rsidR="00DE155D" w:rsidRPr="00245458">
        <w:rPr>
          <w:rFonts w:ascii="Arial" w:hAnsi="Arial" w:cs="Arial"/>
          <w:sz w:val="20"/>
        </w:rPr>
        <w:t>two</w:t>
      </w:r>
      <w:r w:rsidRPr="00245458">
        <w:rPr>
          <w:rFonts w:ascii="Arial" w:hAnsi="Arial" w:cs="Arial"/>
          <w:sz w:val="20"/>
        </w:rPr>
        <w:t xml:space="preserve"> (</w:t>
      </w:r>
      <w:r w:rsidR="00DE155D" w:rsidRPr="00245458">
        <w:rPr>
          <w:rFonts w:ascii="Arial" w:hAnsi="Arial" w:cs="Arial"/>
          <w:sz w:val="20"/>
        </w:rPr>
        <w:t>2</w:t>
      </w:r>
      <w:r w:rsidRPr="00245458">
        <w:rPr>
          <w:rFonts w:ascii="Arial" w:hAnsi="Arial" w:cs="Arial"/>
          <w:sz w:val="20"/>
        </w:rPr>
        <w:t>) projects of a nature and complexity comparable to the proposed contract within the last five (5) years. In addition or for the above, the following specific experience:</w:t>
      </w:r>
    </w:p>
    <w:p w:rsidR="00772604" w:rsidRPr="00245458" w:rsidRDefault="00772604" w:rsidP="00772604">
      <w:pPr>
        <w:pStyle w:val="Style11"/>
        <w:tabs>
          <w:tab w:val="left" w:leader="dot" w:pos="8424"/>
        </w:tabs>
        <w:spacing w:line="240" w:lineRule="auto"/>
        <w:ind w:left="630"/>
        <w:jc w:val="both"/>
        <w:rPr>
          <w:rFonts w:ascii="Arial" w:hAnsi="Arial" w:cs="Arial"/>
          <w:sz w:val="20"/>
          <w:szCs w:val="20"/>
        </w:rPr>
      </w:pPr>
      <w:r w:rsidRPr="00245458">
        <w:rPr>
          <w:rFonts w:ascii="Arial" w:hAnsi="Arial" w:cs="Arial"/>
          <w:sz w:val="20"/>
          <w:szCs w:val="20"/>
        </w:rPr>
        <w:t xml:space="preserve">For the above or other contracts, participation as contractor or management contractor in at least two (2) contract within the last five (5) years, each with a value of at least </w:t>
      </w:r>
      <w:r w:rsidRPr="00245458">
        <w:rPr>
          <w:rFonts w:ascii="Arial" w:hAnsi="Arial" w:cs="Arial"/>
          <w:b/>
          <w:sz w:val="20"/>
          <w:szCs w:val="20"/>
        </w:rPr>
        <w:t>USD 1,690,000.0</w:t>
      </w:r>
      <w:r w:rsidRPr="00245458">
        <w:rPr>
          <w:rFonts w:ascii="Arial" w:hAnsi="Arial" w:cs="Arial"/>
          <w:color w:val="000000"/>
          <w:sz w:val="20"/>
          <w:szCs w:val="20"/>
        </w:rPr>
        <w:t xml:space="preserve"> </w:t>
      </w:r>
      <w:r w:rsidRPr="00245458">
        <w:rPr>
          <w:rFonts w:ascii="Arial" w:hAnsi="Arial" w:cs="Arial"/>
          <w:b/>
          <w:sz w:val="20"/>
          <w:szCs w:val="20"/>
        </w:rPr>
        <w:t>(one million six hundred ninety thousand)</w:t>
      </w:r>
      <w:r w:rsidRPr="00245458">
        <w:rPr>
          <w:rFonts w:ascii="Arial" w:hAnsi="Arial" w:cs="Arial"/>
          <w:b/>
          <w:color w:val="0000FF"/>
          <w:sz w:val="20"/>
          <w:szCs w:val="20"/>
        </w:rPr>
        <w:t xml:space="preserve"> </w:t>
      </w:r>
      <w:r w:rsidRPr="00245458">
        <w:rPr>
          <w:rFonts w:ascii="Arial" w:hAnsi="Arial" w:cs="Arial"/>
          <w:sz w:val="20"/>
          <w:szCs w:val="20"/>
        </w:rPr>
        <w:t xml:space="preserve">equivalent, or four (4) contract each with a value of at least </w:t>
      </w:r>
      <w:r w:rsidRPr="00245458">
        <w:rPr>
          <w:rFonts w:ascii="Arial" w:hAnsi="Arial" w:cs="Arial"/>
          <w:b/>
          <w:sz w:val="20"/>
          <w:szCs w:val="20"/>
        </w:rPr>
        <w:t>USD</w:t>
      </w:r>
      <w:r w:rsidRPr="00245458">
        <w:rPr>
          <w:rFonts w:ascii="Arial" w:hAnsi="Arial" w:cs="Arial"/>
          <w:b/>
          <w:color w:val="000000"/>
          <w:sz w:val="20"/>
          <w:szCs w:val="20"/>
        </w:rPr>
        <w:t xml:space="preserve"> 845</w:t>
      </w:r>
      <w:r w:rsidRPr="00245458">
        <w:rPr>
          <w:rFonts w:ascii="Arial" w:hAnsi="Arial" w:cs="Arial"/>
          <w:b/>
          <w:sz w:val="20"/>
          <w:szCs w:val="20"/>
        </w:rPr>
        <w:t>,000.0</w:t>
      </w:r>
      <w:r w:rsidRPr="00245458">
        <w:rPr>
          <w:rFonts w:ascii="Arial" w:hAnsi="Arial" w:cs="Arial"/>
          <w:color w:val="000000"/>
          <w:sz w:val="20"/>
          <w:szCs w:val="20"/>
        </w:rPr>
        <w:t xml:space="preserve"> </w:t>
      </w:r>
      <w:r w:rsidRPr="00245458">
        <w:rPr>
          <w:rFonts w:ascii="Arial" w:hAnsi="Arial" w:cs="Arial"/>
          <w:b/>
          <w:sz w:val="20"/>
          <w:szCs w:val="20"/>
        </w:rPr>
        <w:t>(eight hundred forty five thousand),</w:t>
      </w:r>
      <w:r w:rsidRPr="00245458">
        <w:rPr>
          <w:rFonts w:ascii="Arial" w:hAnsi="Arial" w:cs="Arial"/>
          <w:sz w:val="20"/>
          <w:szCs w:val="20"/>
        </w:rPr>
        <w:t xml:space="preserve"> that have been successfully and substantially completed and that are similar to the proposed Works. The similarity shall be based on the physical size, complexity, methods/technology or other characteristics as described in Section VI, Employer’s Requirements</w:t>
      </w:r>
    </w:p>
    <w:p w:rsidR="00772604" w:rsidRPr="00245458" w:rsidRDefault="00772604" w:rsidP="00772604">
      <w:pPr>
        <w:spacing w:before="120" w:after="120"/>
        <w:ind w:left="630"/>
        <w:rPr>
          <w:rFonts w:ascii="Arial" w:hAnsi="Arial" w:cs="Arial"/>
          <w:sz w:val="20"/>
        </w:rPr>
      </w:pPr>
      <w:r w:rsidRPr="00245458">
        <w:rPr>
          <w:rFonts w:ascii="Arial" w:hAnsi="Arial" w:cs="Arial"/>
          <w:color w:val="000000"/>
          <w:sz w:val="20"/>
        </w:rPr>
        <w:t xml:space="preserve">If a Tenderer is a JV, Consortium or Association, each partner should have 1 (one) contract </w:t>
      </w:r>
      <w:r w:rsidRPr="00245458">
        <w:rPr>
          <w:rFonts w:ascii="Arial" w:hAnsi="Arial" w:cs="Arial"/>
          <w:sz w:val="20"/>
        </w:rPr>
        <w:t xml:space="preserve">with a value of at least </w:t>
      </w:r>
      <w:r w:rsidRPr="00245458">
        <w:rPr>
          <w:rFonts w:ascii="Arial" w:hAnsi="Arial" w:cs="Arial"/>
          <w:b/>
          <w:sz w:val="20"/>
        </w:rPr>
        <w:t>1,690,000.0</w:t>
      </w:r>
      <w:r w:rsidRPr="00245458">
        <w:rPr>
          <w:rFonts w:ascii="Arial" w:hAnsi="Arial" w:cs="Arial"/>
          <w:color w:val="000000"/>
          <w:sz w:val="20"/>
        </w:rPr>
        <w:t xml:space="preserve"> </w:t>
      </w:r>
      <w:r w:rsidRPr="00245458">
        <w:rPr>
          <w:rFonts w:ascii="Arial" w:hAnsi="Arial" w:cs="Arial"/>
          <w:b/>
          <w:sz w:val="20"/>
        </w:rPr>
        <w:t>(one million six hundred ninety thousand)</w:t>
      </w:r>
      <w:r w:rsidRPr="00245458">
        <w:rPr>
          <w:rFonts w:ascii="Arial" w:hAnsi="Arial" w:cs="Arial"/>
          <w:sz w:val="20"/>
        </w:rPr>
        <w:t xml:space="preserve"> equivalent</w:t>
      </w:r>
      <w:r w:rsidRPr="00245458">
        <w:rPr>
          <w:rFonts w:ascii="Arial" w:hAnsi="Arial" w:cs="Arial"/>
          <w:b/>
          <w:sz w:val="20"/>
        </w:rPr>
        <w:t xml:space="preserve"> </w:t>
      </w:r>
      <w:r w:rsidRPr="00245458">
        <w:rPr>
          <w:rFonts w:ascii="Arial" w:hAnsi="Arial" w:cs="Arial"/>
          <w:sz w:val="20"/>
        </w:rPr>
        <w:t xml:space="preserve">or 2 (two) contracts each with minimum value of </w:t>
      </w:r>
      <w:r w:rsidRPr="00245458">
        <w:rPr>
          <w:rFonts w:ascii="Arial" w:hAnsi="Arial" w:cs="Arial"/>
          <w:b/>
          <w:sz w:val="20"/>
        </w:rPr>
        <w:t xml:space="preserve">USD 845,000 (eight hundred forty five thousand) </w:t>
      </w:r>
      <w:r w:rsidRPr="00245458">
        <w:rPr>
          <w:rFonts w:ascii="Arial" w:hAnsi="Arial" w:cs="Arial"/>
          <w:sz w:val="20"/>
        </w:rPr>
        <w:t>equivalent</w:t>
      </w:r>
      <w:r w:rsidRPr="00245458">
        <w:rPr>
          <w:rFonts w:ascii="Arial" w:hAnsi="Arial" w:cs="Arial"/>
          <w:b/>
          <w:sz w:val="20"/>
        </w:rPr>
        <w:t xml:space="preserve">, </w:t>
      </w:r>
      <w:r w:rsidRPr="00245458">
        <w:rPr>
          <w:rFonts w:ascii="Arial" w:hAnsi="Arial" w:cs="Arial"/>
          <w:color w:val="000000"/>
          <w:sz w:val="20"/>
        </w:rPr>
        <w:t>all partners combined must meet the requirement</w:t>
      </w:r>
    </w:p>
    <w:p w:rsidR="00772604" w:rsidRPr="00245458" w:rsidRDefault="00772604" w:rsidP="00772604">
      <w:pPr>
        <w:spacing w:before="120" w:after="120"/>
        <w:ind w:left="630"/>
        <w:rPr>
          <w:rFonts w:ascii="Arial" w:hAnsi="Arial" w:cs="Arial"/>
          <w:sz w:val="20"/>
        </w:rPr>
      </w:pPr>
      <w:r w:rsidRPr="00245458">
        <w:rPr>
          <w:rFonts w:ascii="Arial" w:hAnsi="Arial" w:cs="Arial"/>
          <w:sz w:val="20"/>
        </w:rPr>
        <w:t>For the above or other contracts executed during the last five (5) years a minimum experience in the following key activities: </w:t>
      </w:r>
    </w:p>
    <w:p w:rsidR="00772604" w:rsidRPr="00245458" w:rsidRDefault="00772604" w:rsidP="00772604">
      <w:pPr>
        <w:numPr>
          <w:ilvl w:val="0"/>
          <w:numId w:val="2"/>
        </w:numPr>
        <w:spacing w:before="120" w:after="120"/>
        <w:rPr>
          <w:rFonts w:ascii="Arial" w:hAnsi="Arial" w:cs="Arial"/>
          <w:sz w:val="20"/>
        </w:rPr>
      </w:pPr>
      <w:r w:rsidRPr="00245458">
        <w:rPr>
          <w:rFonts w:ascii="Arial" w:hAnsi="Arial" w:cs="Arial"/>
          <w:sz w:val="20"/>
        </w:rPr>
        <w:t>Construction of HDPE pressure pipes for water supply systems DN160 (HDPE) ÷ DN32 (HDPE) or larger. Total constructed length (all diameters) shall be at least 2,230 m;</w:t>
      </w:r>
    </w:p>
    <w:p w:rsidR="00772604" w:rsidRPr="00245458" w:rsidRDefault="00772604" w:rsidP="00772604">
      <w:pPr>
        <w:numPr>
          <w:ilvl w:val="0"/>
          <w:numId w:val="2"/>
        </w:numPr>
        <w:spacing w:before="120" w:after="120"/>
        <w:rPr>
          <w:rFonts w:ascii="Arial" w:hAnsi="Arial" w:cs="Arial"/>
          <w:sz w:val="20"/>
        </w:rPr>
      </w:pPr>
      <w:r w:rsidRPr="00245458">
        <w:rPr>
          <w:rFonts w:ascii="Arial" w:hAnsi="Arial" w:cs="Arial"/>
          <w:sz w:val="20"/>
        </w:rPr>
        <w:t>Construction of polyethylene pipes (HDPE) DN20-DN40 diameter. Total constructed length (all diameters) shall be at least 2,000 m with installation of polymer sand and r/c individual water metering chambers.</w:t>
      </w:r>
    </w:p>
    <w:p w:rsidR="00772604" w:rsidRPr="00245458" w:rsidRDefault="00772604" w:rsidP="00772604">
      <w:pPr>
        <w:numPr>
          <w:ilvl w:val="0"/>
          <w:numId w:val="2"/>
        </w:numPr>
        <w:spacing w:before="120" w:after="120"/>
        <w:ind w:left="993"/>
        <w:rPr>
          <w:rFonts w:ascii="Arial" w:hAnsi="Arial" w:cs="Arial"/>
          <w:sz w:val="20"/>
        </w:rPr>
      </w:pPr>
      <w:r w:rsidRPr="00245458">
        <w:rPr>
          <w:rFonts w:ascii="Arial" w:hAnsi="Arial" w:cs="Arial"/>
          <w:sz w:val="20"/>
        </w:rPr>
        <w:t>Installation of  pumps – 4, /Replacing the technological part in the pumping station/</w:t>
      </w:r>
    </w:p>
    <w:p w:rsidR="00772604" w:rsidRPr="00245458" w:rsidRDefault="00772604" w:rsidP="00772604">
      <w:pPr>
        <w:numPr>
          <w:ilvl w:val="0"/>
          <w:numId w:val="2"/>
        </w:numPr>
        <w:spacing w:before="120" w:after="120"/>
        <w:ind w:left="993"/>
        <w:rPr>
          <w:rFonts w:ascii="Arial" w:hAnsi="Arial" w:cs="Arial"/>
          <w:sz w:val="20"/>
        </w:rPr>
      </w:pPr>
      <w:r w:rsidRPr="00245458">
        <w:rPr>
          <w:rFonts w:ascii="Arial" w:hAnsi="Arial" w:cs="Arial"/>
          <w:sz w:val="20"/>
        </w:rPr>
        <w:t>Earth works: 3,600m</w:t>
      </w:r>
      <w:r w:rsidRPr="00245458">
        <w:rPr>
          <w:rFonts w:ascii="Arial" w:hAnsi="Arial" w:cs="Arial"/>
          <w:sz w:val="20"/>
          <w:vertAlign w:val="superscript"/>
        </w:rPr>
        <w:t xml:space="preserve">3   </w:t>
      </w:r>
      <w:r w:rsidRPr="00245458">
        <w:rPr>
          <w:rFonts w:ascii="Arial" w:hAnsi="Arial" w:cs="Arial"/>
          <w:sz w:val="20"/>
        </w:rPr>
        <w:t>which consist of trench works for a minimum 4200.0m length (in total)</w:t>
      </w:r>
    </w:p>
    <w:p w:rsidR="00772604" w:rsidRPr="00245458" w:rsidRDefault="00772604" w:rsidP="00772604">
      <w:pPr>
        <w:spacing w:before="120" w:after="120"/>
        <w:ind w:left="993" w:hanging="360"/>
        <w:rPr>
          <w:rFonts w:ascii="Arial" w:hAnsi="Arial" w:cs="Arial"/>
          <w:sz w:val="20"/>
        </w:rPr>
      </w:pPr>
      <w:r w:rsidRPr="00245458">
        <w:rPr>
          <w:rFonts w:ascii="Arial" w:hAnsi="Arial" w:cs="Arial"/>
          <w:color w:val="000000"/>
          <w:sz w:val="20"/>
        </w:rPr>
        <w:t>If a Tenderer is a JV, Consortium or Association, all partners combined must meet the requirement</w:t>
      </w:r>
    </w:p>
    <w:p w:rsidR="00772604" w:rsidRPr="00245458" w:rsidRDefault="00772604" w:rsidP="00772604">
      <w:pPr>
        <w:numPr>
          <w:ilvl w:val="0"/>
          <w:numId w:val="1"/>
        </w:numPr>
        <w:rPr>
          <w:rFonts w:ascii="Arial" w:hAnsi="Arial" w:cs="Arial"/>
          <w:sz w:val="20"/>
        </w:rPr>
      </w:pPr>
      <w:r w:rsidRPr="00245458">
        <w:rPr>
          <w:rFonts w:ascii="Arial" w:hAnsi="Arial" w:cs="Arial"/>
          <w:b/>
          <w:sz w:val="20"/>
        </w:rPr>
        <w:t>Personnel:</w:t>
      </w:r>
    </w:p>
    <w:p w:rsidR="00772604" w:rsidRPr="00245458" w:rsidRDefault="00772604" w:rsidP="00772604">
      <w:pPr>
        <w:rPr>
          <w:rFonts w:ascii="Arial" w:hAnsi="Arial" w:cs="Arial"/>
          <w:sz w:val="20"/>
        </w:rPr>
      </w:pPr>
    </w:p>
    <w:tbl>
      <w:tblPr>
        <w:tblW w:w="9288" w:type="dxa"/>
        <w:jc w:val="center"/>
        <w:tblInd w:w="378" w:type="dxa"/>
        <w:tblLayout w:type="fixed"/>
        <w:tblLook w:val="01E0" w:firstRow="1" w:lastRow="1" w:firstColumn="1" w:lastColumn="1" w:noHBand="0" w:noVBand="0"/>
      </w:tblPr>
      <w:tblGrid>
        <w:gridCol w:w="826"/>
        <w:gridCol w:w="4334"/>
        <w:gridCol w:w="2064"/>
        <w:gridCol w:w="2064"/>
      </w:tblGrid>
      <w:tr w:rsidR="00772604" w:rsidRPr="00245458" w:rsidTr="005E2908">
        <w:trPr>
          <w:jc w:val="center"/>
        </w:trPr>
        <w:tc>
          <w:tcPr>
            <w:tcW w:w="826" w:type="dxa"/>
            <w:tcBorders>
              <w:top w:val="single" w:sz="4" w:space="0" w:color="auto"/>
              <w:left w:val="single" w:sz="4" w:space="0" w:color="auto"/>
              <w:bottom w:val="single" w:sz="4" w:space="0" w:color="auto"/>
              <w:right w:val="single" w:sz="4" w:space="0" w:color="auto"/>
            </w:tcBorders>
            <w:vAlign w:val="center"/>
          </w:tcPr>
          <w:p w:rsidR="00772604" w:rsidRPr="00245458" w:rsidRDefault="00772604" w:rsidP="00714D75">
            <w:pPr>
              <w:spacing w:before="40" w:after="40"/>
              <w:jc w:val="center"/>
              <w:rPr>
                <w:rFonts w:ascii="Arial" w:hAnsi="Arial" w:cs="Arial"/>
                <w:b/>
                <w:bCs/>
                <w:i/>
                <w:iCs/>
                <w:sz w:val="20"/>
              </w:rPr>
            </w:pPr>
            <w:r w:rsidRPr="00245458">
              <w:rPr>
                <w:rFonts w:ascii="Arial" w:hAnsi="Arial" w:cs="Arial"/>
                <w:b/>
                <w:bCs/>
                <w:i/>
                <w:iCs/>
                <w:sz w:val="20"/>
              </w:rPr>
              <w:t>No.</w:t>
            </w:r>
          </w:p>
        </w:tc>
        <w:tc>
          <w:tcPr>
            <w:tcW w:w="4334" w:type="dxa"/>
            <w:tcBorders>
              <w:top w:val="single" w:sz="4" w:space="0" w:color="auto"/>
              <w:left w:val="single" w:sz="4" w:space="0" w:color="auto"/>
              <w:bottom w:val="single" w:sz="4" w:space="0" w:color="auto"/>
              <w:right w:val="single" w:sz="4" w:space="0" w:color="auto"/>
            </w:tcBorders>
            <w:vAlign w:val="center"/>
          </w:tcPr>
          <w:p w:rsidR="00772604" w:rsidRPr="00245458" w:rsidRDefault="00772604" w:rsidP="00714D75">
            <w:pPr>
              <w:spacing w:before="40" w:after="40"/>
              <w:jc w:val="center"/>
              <w:rPr>
                <w:rFonts w:ascii="Arial" w:hAnsi="Arial" w:cs="Arial"/>
                <w:b/>
                <w:bCs/>
                <w:i/>
                <w:iCs/>
                <w:sz w:val="20"/>
              </w:rPr>
            </w:pPr>
            <w:r w:rsidRPr="00245458">
              <w:rPr>
                <w:rFonts w:ascii="Arial" w:hAnsi="Arial" w:cs="Arial"/>
                <w:b/>
                <w:bCs/>
                <w:i/>
                <w:iCs/>
                <w:sz w:val="20"/>
              </w:rPr>
              <w:t>Position</w:t>
            </w:r>
          </w:p>
        </w:tc>
        <w:tc>
          <w:tcPr>
            <w:tcW w:w="2064" w:type="dxa"/>
            <w:tcBorders>
              <w:top w:val="single" w:sz="4" w:space="0" w:color="auto"/>
              <w:left w:val="single" w:sz="4" w:space="0" w:color="auto"/>
              <w:bottom w:val="single" w:sz="4" w:space="0" w:color="auto"/>
              <w:right w:val="single" w:sz="4" w:space="0" w:color="auto"/>
            </w:tcBorders>
            <w:vAlign w:val="center"/>
          </w:tcPr>
          <w:p w:rsidR="00772604" w:rsidRPr="00245458" w:rsidRDefault="00772604" w:rsidP="00714D75">
            <w:pPr>
              <w:spacing w:before="40" w:after="40"/>
              <w:jc w:val="center"/>
              <w:rPr>
                <w:rFonts w:ascii="Arial" w:hAnsi="Arial" w:cs="Arial"/>
                <w:b/>
                <w:bCs/>
                <w:i/>
                <w:iCs/>
                <w:sz w:val="20"/>
              </w:rPr>
            </w:pPr>
            <w:r w:rsidRPr="00245458">
              <w:rPr>
                <w:rFonts w:ascii="Arial" w:hAnsi="Arial" w:cs="Arial"/>
                <w:b/>
                <w:bCs/>
                <w:i/>
                <w:iCs/>
                <w:sz w:val="20"/>
              </w:rPr>
              <w:t>General</w:t>
            </w:r>
          </w:p>
          <w:p w:rsidR="00772604" w:rsidRPr="00245458" w:rsidRDefault="00772604" w:rsidP="00714D75">
            <w:pPr>
              <w:spacing w:before="40" w:after="40"/>
              <w:jc w:val="center"/>
              <w:rPr>
                <w:rFonts w:ascii="Arial" w:hAnsi="Arial" w:cs="Arial"/>
                <w:b/>
                <w:bCs/>
                <w:i/>
                <w:iCs/>
                <w:sz w:val="20"/>
              </w:rPr>
            </w:pPr>
            <w:r w:rsidRPr="00245458">
              <w:rPr>
                <w:rFonts w:ascii="Arial" w:hAnsi="Arial" w:cs="Arial"/>
                <w:b/>
                <w:bCs/>
                <w:i/>
                <w:iCs/>
                <w:sz w:val="20"/>
              </w:rPr>
              <w:t>Experience (years)</w:t>
            </w:r>
          </w:p>
        </w:tc>
        <w:tc>
          <w:tcPr>
            <w:tcW w:w="2064" w:type="dxa"/>
            <w:tcBorders>
              <w:top w:val="single" w:sz="4" w:space="0" w:color="auto"/>
              <w:left w:val="single" w:sz="4" w:space="0" w:color="auto"/>
              <w:bottom w:val="single" w:sz="4" w:space="0" w:color="auto"/>
              <w:right w:val="single" w:sz="4" w:space="0" w:color="auto"/>
            </w:tcBorders>
            <w:vAlign w:val="center"/>
          </w:tcPr>
          <w:p w:rsidR="00772604" w:rsidRPr="00245458" w:rsidRDefault="00772604" w:rsidP="00714D75">
            <w:pPr>
              <w:spacing w:before="40" w:after="40"/>
              <w:jc w:val="center"/>
              <w:rPr>
                <w:rFonts w:ascii="Arial" w:hAnsi="Arial" w:cs="Arial"/>
                <w:b/>
                <w:bCs/>
                <w:i/>
                <w:iCs/>
                <w:sz w:val="20"/>
              </w:rPr>
            </w:pPr>
            <w:r w:rsidRPr="00245458">
              <w:rPr>
                <w:rFonts w:ascii="Arial" w:hAnsi="Arial" w:cs="Arial"/>
                <w:b/>
                <w:bCs/>
                <w:i/>
                <w:iCs/>
                <w:sz w:val="20"/>
              </w:rPr>
              <w:t>Similar Works Experience</w:t>
            </w:r>
          </w:p>
          <w:p w:rsidR="00772604" w:rsidRPr="00245458" w:rsidRDefault="00772604" w:rsidP="00714D75">
            <w:pPr>
              <w:spacing w:before="40" w:after="40"/>
              <w:jc w:val="center"/>
              <w:rPr>
                <w:rFonts w:ascii="Arial" w:hAnsi="Arial" w:cs="Arial"/>
                <w:b/>
                <w:bCs/>
                <w:i/>
                <w:iCs/>
                <w:sz w:val="20"/>
              </w:rPr>
            </w:pPr>
            <w:r w:rsidRPr="00245458">
              <w:rPr>
                <w:rFonts w:ascii="Arial" w:hAnsi="Arial" w:cs="Arial"/>
                <w:b/>
                <w:bCs/>
                <w:i/>
                <w:iCs/>
                <w:sz w:val="20"/>
              </w:rPr>
              <w:t>(years)</w:t>
            </w:r>
          </w:p>
        </w:tc>
      </w:tr>
      <w:tr w:rsidR="00772604" w:rsidRPr="00245458" w:rsidTr="005E2908">
        <w:trPr>
          <w:jc w:val="center"/>
        </w:trPr>
        <w:tc>
          <w:tcPr>
            <w:tcW w:w="826" w:type="dxa"/>
            <w:tcBorders>
              <w:top w:val="single" w:sz="4" w:space="0" w:color="auto"/>
              <w:left w:val="single" w:sz="4" w:space="0" w:color="auto"/>
              <w:bottom w:val="single" w:sz="4" w:space="0" w:color="auto"/>
              <w:right w:val="single" w:sz="4" w:space="0" w:color="auto"/>
            </w:tcBorders>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1</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772604" w:rsidRPr="00245458" w:rsidRDefault="00772604" w:rsidP="00714D75">
            <w:pPr>
              <w:spacing w:before="40" w:after="40"/>
              <w:jc w:val="left"/>
              <w:rPr>
                <w:rFonts w:ascii="Arial" w:hAnsi="Arial" w:cs="Arial"/>
                <w:sz w:val="20"/>
                <w:lang w:val="hy-AM"/>
              </w:rPr>
            </w:pPr>
            <w:r w:rsidRPr="00245458">
              <w:rPr>
                <w:rFonts w:ascii="Arial" w:hAnsi="Arial" w:cs="Arial"/>
                <w:sz w:val="20"/>
                <w:lang w:val="hy-AM"/>
              </w:rPr>
              <w:t>Construction manager</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10</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5</w:t>
            </w:r>
          </w:p>
        </w:tc>
      </w:tr>
      <w:tr w:rsidR="00772604" w:rsidRPr="00245458" w:rsidTr="005E2908">
        <w:trPr>
          <w:jc w:val="center"/>
        </w:trPr>
        <w:tc>
          <w:tcPr>
            <w:tcW w:w="826" w:type="dxa"/>
            <w:tcBorders>
              <w:top w:val="single" w:sz="4" w:space="0" w:color="auto"/>
              <w:left w:val="single" w:sz="4" w:space="0" w:color="auto"/>
              <w:bottom w:val="single" w:sz="4" w:space="0" w:color="auto"/>
              <w:right w:val="single" w:sz="4" w:space="0" w:color="auto"/>
            </w:tcBorders>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2</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772604" w:rsidRPr="00245458" w:rsidRDefault="00772604" w:rsidP="00714D75">
            <w:pPr>
              <w:spacing w:before="40" w:after="40"/>
              <w:jc w:val="left"/>
              <w:rPr>
                <w:rFonts w:ascii="Arial" w:hAnsi="Arial" w:cs="Arial"/>
                <w:sz w:val="20"/>
                <w:lang w:val="hy-AM"/>
              </w:rPr>
            </w:pPr>
            <w:r w:rsidRPr="00245458">
              <w:rPr>
                <w:rFonts w:ascii="Arial" w:hAnsi="Arial" w:cs="Arial"/>
                <w:sz w:val="20"/>
                <w:lang w:val="hy-AM"/>
              </w:rPr>
              <w:t xml:space="preserve">Construction  civil engineer </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10</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5</w:t>
            </w:r>
          </w:p>
        </w:tc>
      </w:tr>
      <w:tr w:rsidR="00772604" w:rsidRPr="00245458" w:rsidTr="005E2908">
        <w:trPr>
          <w:jc w:val="center"/>
        </w:trPr>
        <w:tc>
          <w:tcPr>
            <w:tcW w:w="826" w:type="dxa"/>
            <w:tcBorders>
              <w:top w:val="single" w:sz="4" w:space="0" w:color="auto"/>
              <w:left w:val="single" w:sz="4" w:space="0" w:color="auto"/>
              <w:bottom w:val="single" w:sz="4" w:space="0" w:color="auto"/>
              <w:right w:val="single" w:sz="4" w:space="0" w:color="auto"/>
            </w:tcBorders>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3</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772604" w:rsidRPr="00245458" w:rsidRDefault="00772604" w:rsidP="00714D75">
            <w:pPr>
              <w:spacing w:before="40" w:after="40"/>
              <w:jc w:val="left"/>
              <w:rPr>
                <w:rFonts w:ascii="Arial" w:hAnsi="Arial" w:cs="Arial"/>
                <w:sz w:val="20"/>
                <w:lang w:val="hy-AM"/>
              </w:rPr>
            </w:pPr>
            <w:r w:rsidRPr="00245458">
              <w:rPr>
                <w:rFonts w:ascii="Arial" w:hAnsi="Arial" w:cs="Arial"/>
                <w:sz w:val="20"/>
                <w:lang w:val="hy-AM"/>
              </w:rPr>
              <w:t xml:space="preserve">Foreman of construction and installation works </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10</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5</w:t>
            </w:r>
          </w:p>
        </w:tc>
      </w:tr>
      <w:tr w:rsidR="00772604" w:rsidRPr="00245458" w:rsidTr="005E2908">
        <w:trPr>
          <w:jc w:val="center"/>
        </w:trPr>
        <w:tc>
          <w:tcPr>
            <w:tcW w:w="826" w:type="dxa"/>
            <w:tcBorders>
              <w:top w:val="single" w:sz="4" w:space="0" w:color="auto"/>
              <w:left w:val="single" w:sz="4" w:space="0" w:color="auto"/>
              <w:bottom w:val="single" w:sz="4" w:space="0" w:color="auto"/>
              <w:right w:val="single" w:sz="4" w:space="0" w:color="auto"/>
            </w:tcBorders>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4</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772604" w:rsidRPr="00245458" w:rsidRDefault="00772604" w:rsidP="00714D75">
            <w:pPr>
              <w:spacing w:before="40" w:after="40"/>
              <w:jc w:val="left"/>
              <w:rPr>
                <w:rFonts w:ascii="Arial" w:hAnsi="Arial" w:cs="Arial"/>
                <w:sz w:val="20"/>
                <w:lang w:val="en-US"/>
              </w:rPr>
            </w:pPr>
            <w:r w:rsidRPr="00245458">
              <w:rPr>
                <w:rFonts w:ascii="Arial" w:hAnsi="Arial" w:cs="Arial"/>
                <w:sz w:val="20"/>
                <w:lang w:val="en-US"/>
              </w:rPr>
              <w:t>Environmental specialist</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10</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5</w:t>
            </w:r>
          </w:p>
        </w:tc>
      </w:tr>
      <w:tr w:rsidR="00772604" w:rsidRPr="00245458" w:rsidTr="005E2908">
        <w:trPr>
          <w:jc w:val="center"/>
        </w:trPr>
        <w:tc>
          <w:tcPr>
            <w:tcW w:w="826" w:type="dxa"/>
            <w:tcBorders>
              <w:top w:val="single" w:sz="4" w:space="0" w:color="auto"/>
              <w:left w:val="single" w:sz="4" w:space="0" w:color="auto"/>
              <w:bottom w:val="single" w:sz="4" w:space="0" w:color="auto"/>
              <w:right w:val="single" w:sz="4" w:space="0" w:color="auto"/>
            </w:tcBorders>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5</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772604" w:rsidRPr="00245458" w:rsidRDefault="00772604" w:rsidP="00714D75">
            <w:pPr>
              <w:spacing w:before="40" w:after="40"/>
              <w:jc w:val="left"/>
              <w:rPr>
                <w:rFonts w:ascii="Arial" w:hAnsi="Arial" w:cs="Arial"/>
                <w:sz w:val="20"/>
                <w:lang w:val="en-US"/>
              </w:rPr>
            </w:pPr>
            <w:r w:rsidRPr="00245458">
              <w:rPr>
                <w:rFonts w:ascii="Arial" w:hAnsi="Arial" w:cs="Arial"/>
                <w:sz w:val="20"/>
                <w:lang w:val="en-US"/>
              </w:rPr>
              <w:t xml:space="preserve">Social/Communication specialist </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10</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5</w:t>
            </w:r>
          </w:p>
        </w:tc>
      </w:tr>
      <w:tr w:rsidR="00772604" w:rsidRPr="00245458" w:rsidTr="005E2908">
        <w:trPr>
          <w:jc w:val="center"/>
        </w:trPr>
        <w:tc>
          <w:tcPr>
            <w:tcW w:w="826" w:type="dxa"/>
            <w:tcBorders>
              <w:top w:val="single" w:sz="4" w:space="0" w:color="auto"/>
              <w:left w:val="single" w:sz="4" w:space="0" w:color="auto"/>
              <w:bottom w:val="single" w:sz="4" w:space="0" w:color="auto"/>
              <w:right w:val="single" w:sz="4" w:space="0" w:color="auto"/>
            </w:tcBorders>
            <w:vAlign w:val="center"/>
          </w:tcPr>
          <w:p w:rsidR="00772604" w:rsidRPr="00245458" w:rsidRDefault="00772604" w:rsidP="00714D75">
            <w:pPr>
              <w:spacing w:before="40" w:after="40"/>
              <w:jc w:val="center"/>
              <w:rPr>
                <w:rFonts w:ascii="Arial" w:hAnsi="Arial" w:cs="Arial"/>
                <w:bCs/>
                <w:i/>
                <w:iCs/>
                <w:sz w:val="20"/>
              </w:rPr>
            </w:pPr>
            <w:r w:rsidRPr="00245458">
              <w:rPr>
                <w:rFonts w:ascii="Arial" w:hAnsi="Arial" w:cs="Arial"/>
                <w:bCs/>
                <w:i/>
                <w:iCs/>
                <w:sz w:val="20"/>
              </w:rPr>
              <w:t>6</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772604" w:rsidRPr="00245458" w:rsidRDefault="00772604" w:rsidP="00714D75">
            <w:pPr>
              <w:spacing w:before="40" w:after="40"/>
              <w:jc w:val="left"/>
              <w:rPr>
                <w:rFonts w:ascii="Arial" w:hAnsi="Arial" w:cs="Arial"/>
                <w:sz w:val="20"/>
                <w:lang w:val="en-US"/>
              </w:rPr>
            </w:pPr>
            <w:r w:rsidRPr="00245458">
              <w:rPr>
                <w:rFonts w:ascii="Arial" w:hAnsi="Arial" w:cs="Arial"/>
                <w:sz w:val="20"/>
                <w:lang w:val="en-US"/>
              </w:rPr>
              <w:t>Health and Safety specialist</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772604" w:rsidRPr="00245458" w:rsidRDefault="00772604" w:rsidP="00714D75">
            <w:pPr>
              <w:spacing w:before="40" w:after="40"/>
              <w:jc w:val="center"/>
              <w:rPr>
                <w:rFonts w:ascii="Arial" w:hAnsi="Arial" w:cs="Arial"/>
                <w:bCs/>
                <w:i/>
                <w:iCs/>
                <w:sz w:val="20"/>
                <w:lang w:val="ru-RU"/>
              </w:rPr>
            </w:pPr>
            <w:r w:rsidRPr="00245458">
              <w:rPr>
                <w:rFonts w:ascii="Arial" w:hAnsi="Arial" w:cs="Arial"/>
                <w:bCs/>
                <w:i/>
                <w:iCs/>
                <w:sz w:val="20"/>
                <w:lang w:val="ru-RU"/>
              </w:rPr>
              <w:t>10</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772604" w:rsidRPr="00245458" w:rsidRDefault="00772604" w:rsidP="00714D75">
            <w:pPr>
              <w:spacing w:before="40" w:after="40"/>
              <w:jc w:val="center"/>
              <w:rPr>
                <w:rFonts w:ascii="Arial" w:hAnsi="Arial" w:cs="Arial"/>
                <w:bCs/>
                <w:i/>
                <w:iCs/>
                <w:sz w:val="20"/>
                <w:lang w:val="ru-RU"/>
              </w:rPr>
            </w:pPr>
            <w:r w:rsidRPr="00245458">
              <w:rPr>
                <w:rFonts w:ascii="Arial" w:hAnsi="Arial" w:cs="Arial"/>
                <w:bCs/>
                <w:i/>
                <w:iCs/>
                <w:sz w:val="20"/>
                <w:lang w:val="ru-RU"/>
              </w:rPr>
              <w:t>5</w:t>
            </w:r>
          </w:p>
        </w:tc>
      </w:tr>
      <w:tr w:rsidR="00772604" w:rsidRPr="00245458" w:rsidTr="005E2908">
        <w:trPr>
          <w:jc w:val="center"/>
        </w:trPr>
        <w:tc>
          <w:tcPr>
            <w:tcW w:w="9288" w:type="dxa"/>
            <w:gridSpan w:val="4"/>
            <w:tcBorders>
              <w:top w:val="single" w:sz="4" w:space="0" w:color="auto"/>
            </w:tcBorders>
          </w:tcPr>
          <w:p w:rsidR="00772604" w:rsidRPr="00245458" w:rsidRDefault="00772604" w:rsidP="00714D75">
            <w:pPr>
              <w:spacing w:before="40" w:after="40"/>
              <w:rPr>
                <w:rFonts w:ascii="Arial" w:hAnsi="Arial" w:cs="Arial"/>
                <w:bCs/>
                <w:i/>
                <w:iCs/>
                <w:sz w:val="20"/>
              </w:rPr>
            </w:pPr>
          </w:p>
          <w:p w:rsidR="00772604" w:rsidRPr="00245458" w:rsidRDefault="00772604" w:rsidP="00714D75">
            <w:pPr>
              <w:spacing w:before="40" w:after="40"/>
              <w:rPr>
                <w:rFonts w:ascii="Arial" w:hAnsi="Arial" w:cs="Arial"/>
                <w:bCs/>
                <w:i/>
                <w:iCs/>
                <w:sz w:val="20"/>
              </w:rPr>
            </w:pPr>
          </w:p>
        </w:tc>
      </w:tr>
    </w:tbl>
    <w:p w:rsidR="00772604" w:rsidRPr="00245458" w:rsidRDefault="00772604" w:rsidP="00772604">
      <w:pPr>
        <w:numPr>
          <w:ilvl w:val="0"/>
          <w:numId w:val="1"/>
        </w:numPr>
        <w:rPr>
          <w:rFonts w:ascii="Arial" w:hAnsi="Arial" w:cs="Arial"/>
          <w:sz w:val="20"/>
        </w:rPr>
      </w:pPr>
      <w:r w:rsidRPr="00245458">
        <w:rPr>
          <w:rFonts w:ascii="Arial" w:hAnsi="Arial" w:cs="Arial"/>
          <w:b/>
          <w:sz w:val="20"/>
        </w:rPr>
        <w:t>Equipment:</w:t>
      </w:r>
      <w:r w:rsidRPr="00245458">
        <w:rPr>
          <w:rFonts w:ascii="Arial" w:hAnsi="Arial" w:cs="Arial"/>
          <w:sz w:val="20"/>
        </w:rPr>
        <w:t xml:space="preserve"> </w:t>
      </w:r>
    </w:p>
    <w:p w:rsidR="00772604" w:rsidRPr="00245458" w:rsidRDefault="00772604" w:rsidP="00772604">
      <w:pPr>
        <w:rPr>
          <w:rFonts w:ascii="Arial" w:hAnsi="Arial" w:cs="Arial"/>
          <w:sz w:val="20"/>
        </w:rPr>
      </w:pPr>
    </w:p>
    <w:tbl>
      <w:tblPr>
        <w:tblW w:w="9265"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6271"/>
        <w:gridCol w:w="2281"/>
      </w:tblGrid>
      <w:tr w:rsidR="00772604" w:rsidRPr="00245458" w:rsidTr="005E2908">
        <w:trPr>
          <w:trHeight w:val="98"/>
          <w:jc w:val="center"/>
        </w:trPr>
        <w:tc>
          <w:tcPr>
            <w:tcW w:w="713" w:type="dxa"/>
          </w:tcPr>
          <w:p w:rsidR="00772604" w:rsidRPr="00245458" w:rsidRDefault="00772604" w:rsidP="00714D75">
            <w:pPr>
              <w:spacing w:before="120" w:after="120"/>
              <w:jc w:val="center"/>
              <w:rPr>
                <w:rFonts w:ascii="Arial" w:hAnsi="Arial" w:cs="Arial"/>
                <w:sz w:val="20"/>
              </w:rPr>
            </w:pPr>
            <w:r w:rsidRPr="00245458">
              <w:rPr>
                <w:rFonts w:ascii="Arial" w:hAnsi="Arial" w:cs="Arial"/>
                <w:i/>
                <w:iCs/>
                <w:sz w:val="20"/>
              </w:rPr>
              <w:t>№</w:t>
            </w:r>
          </w:p>
        </w:tc>
        <w:tc>
          <w:tcPr>
            <w:tcW w:w="6271" w:type="dxa"/>
          </w:tcPr>
          <w:p w:rsidR="00772604" w:rsidRPr="00245458" w:rsidRDefault="00772604" w:rsidP="00714D75">
            <w:pPr>
              <w:spacing w:before="120" w:after="120"/>
              <w:jc w:val="center"/>
              <w:rPr>
                <w:rFonts w:ascii="Arial" w:hAnsi="Arial" w:cs="Arial"/>
                <w:sz w:val="20"/>
                <w:lang w:val="hy-AM"/>
              </w:rPr>
            </w:pPr>
            <w:r w:rsidRPr="00245458">
              <w:rPr>
                <w:rFonts w:ascii="Arial" w:hAnsi="Arial" w:cs="Arial"/>
                <w:i/>
                <w:iCs/>
                <w:sz w:val="20"/>
              </w:rPr>
              <w:t>Name</w:t>
            </w:r>
          </w:p>
        </w:tc>
        <w:tc>
          <w:tcPr>
            <w:tcW w:w="2281" w:type="dxa"/>
          </w:tcPr>
          <w:p w:rsidR="00772604" w:rsidRPr="00245458" w:rsidRDefault="00772604" w:rsidP="00714D75">
            <w:pPr>
              <w:spacing w:before="120" w:after="120"/>
              <w:jc w:val="center"/>
              <w:rPr>
                <w:rFonts w:ascii="Arial" w:hAnsi="Arial" w:cs="Arial"/>
                <w:sz w:val="20"/>
              </w:rPr>
            </w:pPr>
            <w:r w:rsidRPr="00245458">
              <w:rPr>
                <w:rFonts w:ascii="Arial" w:hAnsi="Arial" w:cs="Arial"/>
                <w:i/>
                <w:iCs/>
                <w:sz w:val="20"/>
              </w:rPr>
              <w:t>Quantity/piece</w:t>
            </w:r>
          </w:p>
        </w:tc>
      </w:tr>
      <w:tr w:rsidR="00772604" w:rsidRPr="00245458" w:rsidTr="005E2908">
        <w:trPr>
          <w:trHeight w:val="164"/>
          <w:jc w:val="center"/>
        </w:trPr>
        <w:tc>
          <w:tcPr>
            <w:tcW w:w="713" w:type="dxa"/>
          </w:tcPr>
          <w:p w:rsidR="00772604" w:rsidRPr="00245458" w:rsidRDefault="00772604" w:rsidP="00714D75">
            <w:pPr>
              <w:spacing w:before="40" w:after="40"/>
              <w:jc w:val="center"/>
              <w:rPr>
                <w:rFonts w:ascii="Arial" w:hAnsi="Arial" w:cs="Arial"/>
                <w:sz w:val="20"/>
              </w:rPr>
            </w:pPr>
            <w:r w:rsidRPr="00245458">
              <w:rPr>
                <w:rFonts w:ascii="Arial" w:hAnsi="Arial" w:cs="Arial"/>
                <w:sz w:val="20"/>
              </w:rPr>
              <w:t>1</w:t>
            </w:r>
          </w:p>
        </w:tc>
        <w:tc>
          <w:tcPr>
            <w:tcW w:w="6271" w:type="dxa"/>
          </w:tcPr>
          <w:p w:rsidR="00772604" w:rsidRPr="00245458" w:rsidRDefault="00772604" w:rsidP="00714D75">
            <w:pPr>
              <w:spacing w:before="40" w:after="40"/>
              <w:jc w:val="left"/>
              <w:rPr>
                <w:rFonts w:ascii="Arial" w:hAnsi="Arial" w:cs="Arial"/>
                <w:sz w:val="20"/>
                <w:lang w:val="hy-AM"/>
              </w:rPr>
            </w:pPr>
            <w:r w:rsidRPr="00245458">
              <w:rPr>
                <w:rFonts w:ascii="Arial" w:hAnsi="Arial" w:cs="Arial"/>
                <w:sz w:val="20"/>
                <w:lang w:val="hy-AM"/>
              </w:rPr>
              <w:t>Backhoe excavator V=0.5</w:t>
            </w:r>
            <w:r w:rsidRPr="00245458">
              <w:rPr>
                <w:rFonts w:ascii="Arial" w:hAnsi="Arial" w:cs="Arial"/>
                <w:sz w:val="20"/>
                <w:lang w:val="hy-AM"/>
              </w:rPr>
              <w:t>0.75m3 ( with hydraulic hammer )</w:t>
            </w:r>
          </w:p>
        </w:tc>
        <w:tc>
          <w:tcPr>
            <w:tcW w:w="2281" w:type="dxa"/>
          </w:tcPr>
          <w:p w:rsidR="00772604" w:rsidRPr="00245458" w:rsidRDefault="00772604" w:rsidP="00714D75">
            <w:pPr>
              <w:spacing w:before="40" w:after="40"/>
              <w:jc w:val="center"/>
              <w:rPr>
                <w:rFonts w:ascii="Arial" w:hAnsi="Arial" w:cs="Arial"/>
                <w:sz w:val="20"/>
                <w:lang w:val="hy-AM"/>
              </w:rPr>
            </w:pPr>
            <w:r w:rsidRPr="00245458">
              <w:rPr>
                <w:rFonts w:ascii="Arial" w:hAnsi="Arial" w:cs="Arial"/>
                <w:sz w:val="20"/>
                <w:lang w:val="en-US"/>
              </w:rPr>
              <w:t>2</w:t>
            </w:r>
          </w:p>
        </w:tc>
      </w:tr>
      <w:tr w:rsidR="00772604" w:rsidRPr="00245458" w:rsidTr="005E2908">
        <w:trPr>
          <w:trHeight w:val="164"/>
          <w:jc w:val="center"/>
        </w:trPr>
        <w:tc>
          <w:tcPr>
            <w:tcW w:w="713" w:type="dxa"/>
          </w:tcPr>
          <w:p w:rsidR="00772604" w:rsidRPr="00245458" w:rsidRDefault="00772604" w:rsidP="00714D75">
            <w:pPr>
              <w:spacing w:before="40" w:after="40"/>
              <w:jc w:val="center"/>
              <w:rPr>
                <w:rFonts w:ascii="Arial" w:hAnsi="Arial" w:cs="Arial"/>
                <w:sz w:val="20"/>
              </w:rPr>
            </w:pPr>
            <w:r w:rsidRPr="00245458">
              <w:rPr>
                <w:rFonts w:ascii="Arial" w:hAnsi="Arial" w:cs="Arial"/>
                <w:sz w:val="20"/>
              </w:rPr>
              <w:t>2</w:t>
            </w:r>
          </w:p>
        </w:tc>
        <w:tc>
          <w:tcPr>
            <w:tcW w:w="6271" w:type="dxa"/>
          </w:tcPr>
          <w:p w:rsidR="00772604" w:rsidRPr="00245458" w:rsidRDefault="00772604" w:rsidP="00714D75">
            <w:pPr>
              <w:spacing w:before="40" w:after="40"/>
              <w:jc w:val="left"/>
              <w:rPr>
                <w:rFonts w:ascii="Arial" w:hAnsi="Arial" w:cs="Arial"/>
                <w:sz w:val="20"/>
                <w:lang w:val="hy-AM"/>
              </w:rPr>
            </w:pPr>
            <w:r w:rsidRPr="00245458">
              <w:rPr>
                <w:rFonts w:ascii="Arial" w:hAnsi="Arial" w:cs="Arial"/>
                <w:sz w:val="20"/>
                <w:lang w:val="hy-AM"/>
              </w:rPr>
              <w:t>Crane (with at least 16m arrow flight and 6t load capacity)</w:t>
            </w:r>
          </w:p>
        </w:tc>
        <w:tc>
          <w:tcPr>
            <w:tcW w:w="2281" w:type="dxa"/>
          </w:tcPr>
          <w:p w:rsidR="00772604" w:rsidRPr="00245458" w:rsidRDefault="00772604" w:rsidP="00714D75">
            <w:pPr>
              <w:spacing w:before="40" w:after="40"/>
              <w:jc w:val="center"/>
              <w:rPr>
                <w:rFonts w:ascii="Arial" w:hAnsi="Arial" w:cs="Arial"/>
                <w:sz w:val="20"/>
                <w:lang w:val="hy-AM"/>
              </w:rPr>
            </w:pPr>
            <w:r w:rsidRPr="00245458">
              <w:rPr>
                <w:rFonts w:ascii="Arial" w:hAnsi="Arial" w:cs="Arial"/>
                <w:sz w:val="20"/>
                <w:lang w:val="en-US"/>
              </w:rPr>
              <w:t>2</w:t>
            </w:r>
          </w:p>
        </w:tc>
      </w:tr>
      <w:tr w:rsidR="00772604" w:rsidRPr="00245458" w:rsidTr="005E2908">
        <w:trPr>
          <w:trHeight w:val="164"/>
          <w:jc w:val="center"/>
        </w:trPr>
        <w:tc>
          <w:tcPr>
            <w:tcW w:w="713" w:type="dxa"/>
          </w:tcPr>
          <w:p w:rsidR="00772604" w:rsidRPr="00245458" w:rsidRDefault="00772604" w:rsidP="00714D75">
            <w:pPr>
              <w:spacing w:before="40" w:after="40"/>
              <w:jc w:val="center"/>
              <w:rPr>
                <w:rFonts w:ascii="Arial" w:hAnsi="Arial" w:cs="Arial"/>
                <w:sz w:val="20"/>
              </w:rPr>
            </w:pPr>
            <w:r w:rsidRPr="00245458">
              <w:rPr>
                <w:rFonts w:ascii="Arial" w:hAnsi="Arial" w:cs="Arial"/>
                <w:sz w:val="20"/>
              </w:rPr>
              <w:t>3</w:t>
            </w:r>
          </w:p>
        </w:tc>
        <w:tc>
          <w:tcPr>
            <w:tcW w:w="6271" w:type="dxa"/>
          </w:tcPr>
          <w:p w:rsidR="00772604" w:rsidRPr="00245458" w:rsidRDefault="00772604" w:rsidP="00714D75">
            <w:pPr>
              <w:spacing w:before="40" w:after="40"/>
              <w:jc w:val="left"/>
              <w:rPr>
                <w:rFonts w:ascii="Arial" w:hAnsi="Arial" w:cs="Arial"/>
                <w:sz w:val="20"/>
                <w:lang w:val="hy-AM"/>
              </w:rPr>
            </w:pPr>
            <w:r w:rsidRPr="00245458">
              <w:rPr>
                <w:rFonts w:ascii="Arial" w:hAnsi="Arial" w:cs="Arial"/>
                <w:sz w:val="20"/>
                <w:lang w:val="hy-AM"/>
              </w:rPr>
              <w:t>Dump truck with a load capacity of 10 tons</w:t>
            </w:r>
          </w:p>
        </w:tc>
        <w:tc>
          <w:tcPr>
            <w:tcW w:w="2281" w:type="dxa"/>
          </w:tcPr>
          <w:p w:rsidR="00772604" w:rsidRPr="00245458" w:rsidRDefault="00772604" w:rsidP="00714D75">
            <w:pPr>
              <w:spacing w:before="40" w:after="40"/>
              <w:jc w:val="center"/>
              <w:rPr>
                <w:rFonts w:ascii="Arial" w:hAnsi="Arial" w:cs="Arial"/>
                <w:sz w:val="20"/>
                <w:lang w:val="hy-AM"/>
              </w:rPr>
            </w:pPr>
            <w:r w:rsidRPr="00245458">
              <w:rPr>
                <w:rFonts w:ascii="Arial" w:hAnsi="Arial" w:cs="Arial"/>
                <w:sz w:val="20"/>
                <w:lang w:val="en-US"/>
              </w:rPr>
              <w:t>4</w:t>
            </w:r>
          </w:p>
        </w:tc>
      </w:tr>
      <w:tr w:rsidR="00772604" w:rsidRPr="00245458" w:rsidTr="005E2908">
        <w:trPr>
          <w:trHeight w:val="164"/>
          <w:jc w:val="center"/>
        </w:trPr>
        <w:tc>
          <w:tcPr>
            <w:tcW w:w="713" w:type="dxa"/>
          </w:tcPr>
          <w:p w:rsidR="00772604" w:rsidRPr="00245458" w:rsidRDefault="00772604" w:rsidP="00714D75">
            <w:pPr>
              <w:spacing w:before="40" w:after="40"/>
              <w:jc w:val="center"/>
              <w:rPr>
                <w:rFonts w:ascii="Arial" w:hAnsi="Arial" w:cs="Arial"/>
                <w:sz w:val="20"/>
                <w:lang w:val="hy-AM"/>
              </w:rPr>
            </w:pPr>
            <w:r w:rsidRPr="00245458">
              <w:rPr>
                <w:rFonts w:ascii="Arial" w:hAnsi="Arial" w:cs="Arial"/>
                <w:sz w:val="20"/>
                <w:lang w:val="hy-AM"/>
              </w:rPr>
              <w:t>4</w:t>
            </w:r>
          </w:p>
        </w:tc>
        <w:tc>
          <w:tcPr>
            <w:tcW w:w="6271" w:type="dxa"/>
          </w:tcPr>
          <w:p w:rsidR="00772604" w:rsidRPr="00245458" w:rsidRDefault="00772604" w:rsidP="00714D75">
            <w:pPr>
              <w:spacing w:before="40" w:after="40"/>
              <w:jc w:val="left"/>
              <w:rPr>
                <w:rFonts w:ascii="Arial" w:hAnsi="Arial" w:cs="Arial"/>
                <w:sz w:val="20"/>
                <w:lang w:val="hy-AM"/>
              </w:rPr>
            </w:pPr>
            <w:r w:rsidRPr="00245458">
              <w:rPr>
                <w:rFonts w:ascii="Arial" w:hAnsi="Arial" w:cs="Arial"/>
                <w:sz w:val="20"/>
                <w:lang w:val="hy-AM"/>
              </w:rPr>
              <w:t>Bucket loader</w:t>
            </w:r>
          </w:p>
        </w:tc>
        <w:tc>
          <w:tcPr>
            <w:tcW w:w="2281" w:type="dxa"/>
          </w:tcPr>
          <w:p w:rsidR="00772604" w:rsidRPr="00245458" w:rsidRDefault="00772604" w:rsidP="00714D75">
            <w:pPr>
              <w:spacing w:before="40" w:after="40"/>
              <w:jc w:val="center"/>
              <w:rPr>
                <w:rFonts w:ascii="Arial" w:hAnsi="Arial" w:cs="Arial"/>
                <w:sz w:val="20"/>
                <w:lang w:val="hy-AM"/>
              </w:rPr>
            </w:pPr>
            <w:r w:rsidRPr="00245458">
              <w:rPr>
                <w:rFonts w:ascii="Arial" w:hAnsi="Arial" w:cs="Arial"/>
                <w:sz w:val="20"/>
                <w:lang w:val="en-US"/>
              </w:rPr>
              <w:t>2</w:t>
            </w:r>
          </w:p>
        </w:tc>
      </w:tr>
      <w:tr w:rsidR="00772604" w:rsidRPr="00245458" w:rsidTr="005E2908">
        <w:trPr>
          <w:trHeight w:val="164"/>
          <w:jc w:val="center"/>
        </w:trPr>
        <w:tc>
          <w:tcPr>
            <w:tcW w:w="713" w:type="dxa"/>
          </w:tcPr>
          <w:p w:rsidR="00772604" w:rsidRPr="00245458" w:rsidRDefault="00772604" w:rsidP="00714D75">
            <w:pPr>
              <w:spacing w:before="40" w:after="40"/>
              <w:jc w:val="center"/>
              <w:rPr>
                <w:rFonts w:ascii="Arial" w:hAnsi="Arial" w:cs="Arial"/>
                <w:sz w:val="20"/>
              </w:rPr>
            </w:pPr>
            <w:r w:rsidRPr="00245458">
              <w:rPr>
                <w:rFonts w:ascii="Arial" w:hAnsi="Arial" w:cs="Arial"/>
                <w:sz w:val="20"/>
              </w:rPr>
              <w:t>5</w:t>
            </w:r>
          </w:p>
        </w:tc>
        <w:tc>
          <w:tcPr>
            <w:tcW w:w="6271" w:type="dxa"/>
          </w:tcPr>
          <w:p w:rsidR="00772604" w:rsidRPr="00245458" w:rsidRDefault="00772604" w:rsidP="00714D75">
            <w:pPr>
              <w:spacing w:before="40" w:after="40"/>
              <w:jc w:val="left"/>
              <w:rPr>
                <w:rFonts w:ascii="Arial" w:hAnsi="Arial" w:cs="Arial"/>
                <w:sz w:val="20"/>
                <w:lang w:val="hy-AM"/>
              </w:rPr>
            </w:pPr>
            <w:r w:rsidRPr="00245458">
              <w:rPr>
                <w:rFonts w:ascii="Arial" w:hAnsi="Arial" w:cs="Arial"/>
                <w:sz w:val="20"/>
                <w:lang w:val="hy-AM"/>
              </w:rPr>
              <w:t>Pneumatic hammer</w:t>
            </w:r>
          </w:p>
        </w:tc>
        <w:tc>
          <w:tcPr>
            <w:tcW w:w="2281" w:type="dxa"/>
          </w:tcPr>
          <w:p w:rsidR="00772604" w:rsidRPr="00245458" w:rsidRDefault="00772604" w:rsidP="00714D75">
            <w:pPr>
              <w:spacing w:before="40" w:after="40"/>
              <w:jc w:val="center"/>
              <w:rPr>
                <w:rFonts w:ascii="Arial" w:hAnsi="Arial" w:cs="Arial"/>
                <w:sz w:val="20"/>
                <w:lang w:val="hy-AM"/>
              </w:rPr>
            </w:pPr>
            <w:r w:rsidRPr="00245458">
              <w:rPr>
                <w:rFonts w:ascii="Arial" w:hAnsi="Arial" w:cs="Arial"/>
                <w:sz w:val="20"/>
                <w:lang w:val="en-US"/>
              </w:rPr>
              <w:t>1</w:t>
            </w:r>
          </w:p>
        </w:tc>
      </w:tr>
      <w:tr w:rsidR="00772604" w:rsidRPr="00245458" w:rsidTr="005E2908">
        <w:trPr>
          <w:trHeight w:val="164"/>
          <w:jc w:val="center"/>
        </w:trPr>
        <w:tc>
          <w:tcPr>
            <w:tcW w:w="713" w:type="dxa"/>
          </w:tcPr>
          <w:p w:rsidR="00772604" w:rsidRPr="00245458" w:rsidRDefault="00772604" w:rsidP="00714D75">
            <w:pPr>
              <w:spacing w:before="40" w:after="40"/>
              <w:jc w:val="center"/>
              <w:rPr>
                <w:rFonts w:ascii="Arial" w:hAnsi="Arial" w:cs="Arial"/>
                <w:sz w:val="20"/>
                <w:lang w:val="hy-AM"/>
              </w:rPr>
            </w:pPr>
            <w:r w:rsidRPr="00245458">
              <w:rPr>
                <w:rFonts w:ascii="Arial" w:hAnsi="Arial" w:cs="Arial"/>
                <w:sz w:val="20"/>
                <w:lang w:val="hy-AM"/>
              </w:rPr>
              <w:t>6</w:t>
            </w:r>
          </w:p>
        </w:tc>
        <w:tc>
          <w:tcPr>
            <w:tcW w:w="6271" w:type="dxa"/>
          </w:tcPr>
          <w:p w:rsidR="00772604" w:rsidRPr="00245458" w:rsidRDefault="00772604" w:rsidP="00714D75">
            <w:pPr>
              <w:spacing w:before="40" w:after="40"/>
              <w:jc w:val="left"/>
              <w:rPr>
                <w:rFonts w:ascii="Arial" w:hAnsi="Arial" w:cs="Arial"/>
                <w:sz w:val="20"/>
                <w:lang w:val="hy-AM"/>
              </w:rPr>
            </w:pPr>
            <w:r w:rsidRPr="00245458">
              <w:rPr>
                <w:rFonts w:ascii="Arial" w:hAnsi="Arial" w:cs="Arial"/>
                <w:sz w:val="20"/>
                <w:lang w:val="hy-AM"/>
              </w:rPr>
              <w:t>Internal concrete vibrator</w:t>
            </w:r>
          </w:p>
        </w:tc>
        <w:tc>
          <w:tcPr>
            <w:tcW w:w="2281" w:type="dxa"/>
          </w:tcPr>
          <w:p w:rsidR="00772604" w:rsidRPr="00245458" w:rsidRDefault="00772604" w:rsidP="00714D75">
            <w:pPr>
              <w:spacing w:before="40" w:after="40"/>
              <w:jc w:val="center"/>
              <w:rPr>
                <w:rFonts w:ascii="Arial" w:hAnsi="Arial" w:cs="Arial"/>
                <w:sz w:val="20"/>
                <w:lang w:val="hy-AM"/>
              </w:rPr>
            </w:pPr>
            <w:r w:rsidRPr="00245458">
              <w:rPr>
                <w:rFonts w:ascii="Arial" w:hAnsi="Arial" w:cs="Arial"/>
                <w:sz w:val="20"/>
                <w:lang w:val="en-US"/>
              </w:rPr>
              <w:t>2</w:t>
            </w:r>
          </w:p>
        </w:tc>
      </w:tr>
      <w:tr w:rsidR="00772604" w:rsidRPr="00245458" w:rsidTr="005E2908">
        <w:trPr>
          <w:trHeight w:val="164"/>
          <w:jc w:val="center"/>
        </w:trPr>
        <w:tc>
          <w:tcPr>
            <w:tcW w:w="713" w:type="dxa"/>
          </w:tcPr>
          <w:p w:rsidR="00772604" w:rsidRPr="00245458" w:rsidRDefault="00772604" w:rsidP="00714D75">
            <w:pPr>
              <w:spacing w:before="40" w:after="40"/>
              <w:jc w:val="center"/>
              <w:rPr>
                <w:rFonts w:ascii="Arial" w:hAnsi="Arial" w:cs="Arial"/>
                <w:sz w:val="20"/>
              </w:rPr>
            </w:pPr>
            <w:r w:rsidRPr="00245458">
              <w:rPr>
                <w:rFonts w:ascii="Arial" w:hAnsi="Arial" w:cs="Arial"/>
                <w:sz w:val="20"/>
              </w:rPr>
              <w:t>7</w:t>
            </w:r>
          </w:p>
        </w:tc>
        <w:tc>
          <w:tcPr>
            <w:tcW w:w="6271" w:type="dxa"/>
          </w:tcPr>
          <w:p w:rsidR="00772604" w:rsidRPr="00245458" w:rsidRDefault="00772604" w:rsidP="00714D75">
            <w:pPr>
              <w:spacing w:before="40" w:after="40"/>
              <w:jc w:val="left"/>
              <w:rPr>
                <w:rFonts w:ascii="Arial" w:hAnsi="Arial" w:cs="Arial"/>
                <w:sz w:val="20"/>
                <w:lang w:val="hy-AM"/>
              </w:rPr>
            </w:pPr>
            <w:r w:rsidRPr="00245458">
              <w:rPr>
                <w:rFonts w:ascii="Arial" w:hAnsi="Arial" w:cs="Arial"/>
                <w:sz w:val="20"/>
                <w:lang w:val="hy-AM"/>
              </w:rPr>
              <w:t>Asphalt concrete cutting saw</w:t>
            </w:r>
          </w:p>
        </w:tc>
        <w:tc>
          <w:tcPr>
            <w:tcW w:w="2281" w:type="dxa"/>
          </w:tcPr>
          <w:p w:rsidR="00772604" w:rsidRPr="00245458" w:rsidRDefault="00772604" w:rsidP="00714D75">
            <w:pPr>
              <w:spacing w:before="40" w:after="40"/>
              <w:jc w:val="center"/>
              <w:rPr>
                <w:rFonts w:ascii="Arial" w:hAnsi="Arial" w:cs="Arial"/>
                <w:sz w:val="20"/>
                <w:lang w:val="hy-AM"/>
              </w:rPr>
            </w:pPr>
            <w:r w:rsidRPr="00245458">
              <w:rPr>
                <w:rFonts w:ascii="Arial" w:hAnsi="Arial" w:cs="Arial"/>
                <w:sz w:val="20"/>
                <w:lang w:val="hy-AM"/>
              </w:rPr>
              <w:t>2</w:t>
            </w:r>
          </w:p>
        </w:tc>
      </w:tr>
      <w:tr w:rsidR="00772604" w:rsidRPr="00245458" w:rsidTr="005E2908">
        <w:trPr>
          <w:trHeight w:val="297"/>
          <w:jc w:val="center"/>
        </w:trPr>
        <w:tc>
          <w:tcPr>
            <w:tcW w:w="713" w:type="dxa"/>
          </w:tcPr>
          <w:p w:rsidR="00772604" w:rsidRPr="00245458" w:rsidRDefault="00772604" w:rsidP="00714D75">
            <w:pPr>
              <w:spacing w:before="40" w:after="40"/>
              <w:jc w:val="center"/>
              <w:rPr>
                <w:rFonts w:ascii="Arial" w:hAnsi="Arial" w:cs="Arial"/>
                <w:sz w:val="20"/>
              </w:rPr>
            </w:pPr>
            <w:r w:rsidRPr="00245458">
              <w:rPr>
                <w:rFonts w:ascii="Arial" w:hAnsi="Arial" w:cs="Arial"/>
                <w:sz w:val="20"/>
              </w:rPr>
              <w:t>8</w:t>
            </w:r>
          </w:p>
        </w:tc>
        <w:tc>
          <w:tcPr>
            <w:tcW w:w="6271" w:type="dxa"/>
          </w:tcPr>
          <w:p w:rsidR="00772604" w:rsidRPr="00245458" w:rsidRDefault="00772604" w:rsidP="00714D75">
            <w:pPr>
              <w:spacing w:before="40" w:after="40"/>
              <w:jc w:val="left"/>
              <w:rPr>
                <w:rFonts w:ascii="Arial" w:hAnsi="Arial" w:cs="Arial"/>
                <w:sz w:val="20"/>
                <w:lang w:val="hy-AM"/>
              </w:rPr>
            </w:pPr>
            <w:r w:rsidRPr="00245458">
              <w:rPr>
                <w:rFonts w:ascii="Arial" w:hAnsi="Arial" w:cs="Arial"/>
                <w:sz w:val="20"/>
                <w:lang w:val="hy-AM"/>
              </w:rPr>
              <w:t>Portable electrical welding equipment</w:t>
            </w:r>
          </w:p>
        </w:tc>
        <w:tc>
          <w:tcPr>
            <w:tcW w:w="2281" w:type="dxa"/>
          </w:tcPr>
          <w:p w:rsidR="00772604" w:rsidRPr="00245458" w:rsidRDefault="00772604" w:rsidP="00714D75">
            <w:pPr>
              <w:spacing w:before="40" w:after="40"/>
              <w:jc w:val="center"/>
              <w:rPr>
                <w:rFonts w:ascii="Arial" w:hAnsi="Arial" w:cs="Arial"/>
                <w:sz w:val="20"/>
                <w:lang w:val="hy-AM"/>
              </w:rPr>
            </w:pPr>
            <w:r w:rsidRPr="00245458">
              <w:rPr>
                <w:rFonts w:ascii="Arial" w:hAnsi="Arial" w:cs="Arial"/>
                <w:sz w:val="20"/>
                <w:lang w:val="en-US"/>
              </w:rPr>
              <w:t>2</w:t>
            </w:r>
          </w:p>
        </w:tc>
      </w:tr>
      <w:tr w:rsidR="00772604" w:rsidRPr="00245458" w:rsidTr="005E2908">
        <w:trPr>
          <w:trHeight w:val="280"/>
          <w:jc w:val="center"/>
        </w:trPr>
        <w:tc>
          <w:tcPr>
            <w:tcW w:w="713" w:type="dxa"/>
          </w:tcPr>
          <w:p w:rsidR="00772604" w:rsidRPr="00245458" w:rsidRDefault="00772604" w:rsidP="00714D75">
            <w:pPr>
              <w:spacing w:before="40" w:after="40"/>
              <w:jc w:val="center"/>
              <w:rPr>
                <w:rFonts w:ascii="Arial" w:hAnsi="Arial" w:cs="Arial"/>
                <w:sz w:val="20"/>
              </w:rPr>
            </w:pPr>
            <w:r w:rsidRPr="00245458">
              <w:rPr>
                <w:rFonts w:ascii="Arial" w:hAnsi="Arial" w:cs="Arial"/>
                <w:sz w:val="20"/>
              </w:rPr>
              <w:t>9</w:t>
            </w:r>
          </w:p>
        </w:tc>
        <w:tc>
          <w:tcPr>
            <w:tcW w:w="6271" w:type="dxa"/>
          </w:tcPr>
          <w:p w:rsidR="00772604" w:rsidRPr="00245458" w:rsidRDefault="00772604" w:rsidP="00714D75">
            <w:pPr>
              <w:spacing w:before="40" w:after="40"/>
              <w:jc w:val="left"/>
              <w:rPr>
                <w:rFonts w:ascii="Arial" w:hAnsi="Arial" w:cs="Arial"/>
                <w:sz w:val="20"/>
                <w:lang w:val="hy-AM"/>
              </w:rPr>
            </w:pPr>
            <w:r w:rsidRPr="00245458">
              <w:rPr>
                <w:rFonts w:ascii="Arial" w:hAnsi="Arial" w:cs="Arial"/>
                <w:sz w:val="20"/>
                <w:lang w:val="hy-AM"/>
              </w:rPr>
              <w:t>Welding equipment for polyethylene pipes</w:t>
            </w:r>
          </w:p>
        </w:tc>
        <w:tc>
          <w:tcPr>
            <w:tcW w:w="2281" w:type="dxa"/>
          </w:tcPr>
          <w:p w:rsidR="00772604" w:rsidRPr="00245458" w:rsidRDefault="00772604" w:rsidP="00714D75">
            <w:pPr>
              <w:spacing w:before="40" w:after="40"/>
              <w:jc w:val="center"/>
              <w:rPr>
                <w:rFonts w:ascii="Arial" w:hAnsi="Arial" w:cs="Arial"/>
                <w:sz w:val="20"/>
                <w:lang w:val="hy-AM"/>
              </w:rPr>
            </w:pPr>
            <w:r w:rsidRPr="00245458">
              <w:rPr>
                <w:rFonts w:ascii="Arial" w:hAnsi="Arial" w:cs="Arial"/>
                <w:sz w:val="20"/>
                <w:lang w:val="en-US"/>
              </w:rPr>
              <w:t>2</w:t>
            </w:r>
          </w:p>
        </w:tc>
      </w:tr>
      <w:tr w:rsidR="00772604" w:rsidRPr="00245458" w:rsidTr="005E2908">
        <w:trPr>
          <w:trHeight w:val="259"/>
          <w:jc w:val="center"/>
        </w:trPr>
        <w:tc>
          <w:tcPr>
            <w:tcW w:w="713" w:type="dxa"/>
          </w:tcPr>
          <w:p w:rsidR="00772604" w:rsidRPr="00245458" w:rsidRDefault="00772604" w:rsidP="00714D75">
            <w:pPr>
              <w:spacing w:before="40" w:after="40"/>
              <w:jc w:val="center"/>
              <w:rPr>
                <w:rFonts w:ascii="Arial" w:hAnsi="Arial" w:cs="Arial"/>
                <w:sz w:val="20"/>
              </w:rPr>
            </w:pPr>
            <w:r w:rsidRPr="00245458">
              <w:rPr>
                <w:rFonts w:ascii="Arial" w:hAnsi="Arial" w:cs="Arial"/>
                <w:sz w:val="20"/>
              </w:rPr>
              <w:t>10</w:t>
            </w:r>
          </w:p>
        </w:tc>
        <w:tc>
          <w:tcPr>
            <w:tcW w:w="6271" w:type="dxa"/>
          </w:tcPr>
          <w:p w:rsidR="00772604" w:rsidRPr="00245458" w:rsidRDefault="00772604" w:rsidP="00714D75">
            <w:pPr>
              <w:spacing w:before="40" w:after="40"/>
              <w:jc w:val="left"/>
              <w:rPr>
                <w:rFonts w:ascii="Arial" w:hAnsi="Arial" w:cs="Arial"/>
                <w:sz w:val="20"/>
                <w:lang w:val="hy-AM"/>
              </w:rPr>
            </w:pPr>
            <w:r w:rsidRPr="00245458">
              <w:rPr>
                <w:rFonts w:ascii="Arial" w:hAnsi="Arial" w:cs="Arial"/>
                <w:sz w:val="20"/>
                <w:lang w:val="hy-AM"/>
              </w:rPr>
              <w:t>Level gauge/ Tachometer</w:t>
            </w:r>
          </w:p>
        </w:tc>
        <w:tc>
          <w:tcPr>
            <w:tcW w:w="2281" w:type="dxa"/>
          </w:tcPr>
          <w:p w:rsidR="00772604" w:rsidRPr="00245458" w:rsidRDefault="00772604" w:rsidP="00714D75">
            <w:pPr>
              <w:spacing w:before="40" w:after="40"/>
              <w:jc w:val="center"/>
              <w:rPr>
                <w:rFonts w:ascii="Arial" w:hAnsi="Arial" w:cs="Arial"/>
                <w:sz w:val="20"/>
                <w:lang w:val="hy-AM"/>
              </w:rPr>
            </w:pPr>
            <w:r w:rsidRPr="00245458">
              <w:rPr>
                <w:rFonts w:ascii="Arial" w:hAnsi="Arial" w:cs="Arial"/>
                <w:sz w:val="20"/>
                <w:lang w:val="hy-AM"/>
              </w:rPr>
              <w:t>1</w:t>
            </w:r>
          </w:p>
        </w:tc>
      </w:tr>
      <w:tr w:rsidR="00772604" w:rsidRPr="00245458" w:rsidTr="005E2908">
        <w:trPr>
          <w:trHeight w:val="259"/>
          <w:jc w:val="center"/>
        </w:trPr>
        <w:tc>
          <w:tcPr>
            <w:tcW w:w="713" w:type="dxa"/>
          </w:tcPr>
          <w:p w:rsidR="00772604" w:rsidRPr="00245458" w:rsidRDefault="00772604" w:rsidP="00714D75">
            <w:pPr>
              <w:spacing w:before="40" w:after="40"/>
              <w:jc w:val="center"/>
              <w:rPr>
                <w:rFonts w:ascii="Arial" w:hAnsi="Arial" w:cs="Arial"/>
                <w:sz w:val="20"/>
              </w:rPr>
            </w:pPr>
            <w:r w:rsidRPr="00245458">
              <w:rPr>
                <w:rFonts w:ascii="Arial" w:hAnsi="Arial" w:cs="Arial"/>
                <w:sz w:val="20"/>
              </w:rPr>
              <w:t>11</w:t>
            </w:r>
          </w:p>
        </w:tc>
        <w:tc>
          <w:tcPr>
            <w:tcW w:w="6271" w:type="dxa"/>
          </w:tcPr>
          <w:p w:rsidR="00772604" w:rsidRPr="00245458" w:rsidRDefault="00772604" w:rsidP="00714D75">
            <w:pPr>
              <w:spacing w:before="40" w:after="40"/>
              <w:jc w:val="left"/>
              <w:rPr>
                <w:rFonts w:ascii="Arial" w:hAnsi="Arial" w:cs="Arial"/>
                <w:sz w:val="20"/>
                <w:lang w:val="hy-AM"/>
              </w:rPr>
            </w:pPr>
            <w:r w:rsidRPr="00245458">
              <w:rPr>
                <w:rFonts w:ascii="Arial" w:hAnsi="Arial" w:cs="Arial"/>
                <w:sz w:val="20"/>
                <w:lang w:val="hy-AM"/>
              </w:rPr>
              <w:t>Portable generator with internal combustion engine</w:t>
            </w:r>
          </w:p>
        </w:tc>
        <w:tc>
          <w:tcPr>
            <w:tcW w:w="2281" w:type="dxa"/>
          </w:tcPr>
          <w:p w:rsidR="00772604" w:rsidRPr="00245458" w:rsidRDefault="00772604" w:rsidP="00714D75">
            <w:pPr>
              <w:spacing w:before="40" w:after="40"/>
              <w:jc w:val="center"/>
              <w:rPr>
                <w:rFonts w:ascii="Arial" w:hAnsi="Arial" w:cs="Arial"/>
                <w:sz w:val="20"/>
                <w:lang w:val="hy-AM"/>
              </w:rPr>
            </w:pPr>
            <w:r w:rsidRPr="00245458">
              <w:rPr>
                <w:rFonts w:ascii="Arial" w:hAnsi="Arial" w:cs="Arial"/>
                <w:sz w:val="20"/>
                <w:lang w:val="hy-AM"/>
              </w:rPr>
              <w:t>2</w:t>
            </w:r>
          </w:p>
        </w:tc>
      </w:tr>
    </w:tbl>
    <w:p w:rsidR="00772604" w:rsidRPr="00245458" w:rsidRDefault="00772604" w:rsidP="00772604">
      <w:pPr>
        <w:rPr>
          <w:rFonts w:ascii="Arial" w:hAnsi="Arial" w:cs="Arial"/>
          <w:sz w:val="20"/>
        </w:rPr>
      </w:pPr>
    </w:p>
    <w:p w:rsidR="00772604" w:rsidRPr="00245458" w:rsidRDefault="00772604" w:rsidP="00772604">
      <w:pPr>
        <w:numPr>
          <w:ilvl w:val="0"/>
          <w:numId w:val="1"/>
        </w:numPr>
        <w:spacing w:after="200"/>
        <w:ind w:right="-72"/>
        <w:rPr>
          <w:rFonts w:ascii="Arial" w:hAnsi="Arial" w:cs="Arial"/>
          <w:b/>
          <w:sz w:val="20"/>
        </w:rPr>
      </w:pPr>
      <w:r w:rsidRPr="00245458">
        <w:rPr>
          <w:rFonts w:ascii="Arial" w:hAnsi="Arial" w:cs="Arial"/>
          <w:b/>
          <w:sz w:val="20"/>
        </w:rPr>
        <w:t xml:space="preserve">Criteria for joint ventures, consortiums and associations (JVCA): </w:t>
      </w:r>
      <w:r w:rsidRPr="00245458">
        <w:rPr>
          <w:rFonts w:ascii="Arial" w:hAnsi="Arial" w:cs="Arial"/>
          <w:sz w:val="20"/>
        </w:rPr>
        <w:t>participation of JVCA is permitted. Detailed criteria for JVCA is included in Part 1 – Section III Evaluation and Qualification Criteria of the tender document.</w:t>
      </w:r>
    </w:p>
    <w:p w:rsidR="00772604" w:rsidRPr="00245458" w:rsidRDefault="00772604" w:rsidP="00772604">
      <w:pPr>
        <w:numPr>
          <w:ilvl w:val="0"/>
          <w:numId w:val="1"/>
        </w:numPr>
        <w:spacing w:after="200"/>
        <w:ind w:right="-72"/>
        <w:rPr>
          <w:rFonts w:ascii="Arial" w:hAnsi="Arial" w:cs="Arial"/>
          <w:sz w:val="20"/>
        </w:rPr>
      </w:pPr>
      <w:r w:rsidRPr="00245458">
        <w:rPr>
          <w:rFonts w:ascii="Arial" w:hAnsi="Arial" w:cs="Arial"/>
          <w:sz w:val="20"/>
        </w:rPr>
        <w:t>The local Tenderers should submit a reference (issued not earlier than 15 days prior to the bid submission deadline) on not having any arrears to the RA Tax authorities.</w:t>
      </w:r>
    </w:p>
    <w:p w:rsidR="00772604" w:rsidRPr="00245458" w:rsidRDefault="00772604" w:rsidP="00772604">
      <w:pPr>
        <w:spacing w:before="120" w:after="120"/>
        <w:rPr>
          <w:rFonts w:ascii="Arial" w:hAnsi="Arial" w:cs="Arial"/>
          <w:b/>
          <w:bCs/>
          <w:i/>
          <w:iCs/>
          <w:sz w:val="20"/>
          <w:lang w:val="en-US"/>
        </w:rPr>
      </w:pPr>
      <w:r w:rsidRPr="00245458">
        <w:rPr>
          <w:rFonts w:ascii="Arial" w:hAnsi="Arial" w:cs="Arial"/>
          <w:b/>
          <w:bCs/>
          <w:i/>
          <w:iCs/>
          <w:sz w:val="20"/>
        </w:rPr>
        <w:t>The Tenderers shall hold a valid and effective license/permit for hydro-technical facilities, issued by the RA Urban Development Ministry.</w:t>
      </w:r>
      <w:r w:rsidRPr="00245458">
        <w:rPr>
          <w:rFonts w:ascii="Arial" w:hAnsi="Arial" w:cs="Arial"/>
          <w:sz w:val="20"/>
        </w:rPr>
        <w:t xml:space="preserve"> </w:t>
      </w:r>
      <w:r w:rsidRPr="00245458">
        <w:rPr>
          <w:rFonts w:ascii="Arial" w:hAnsi="Arial" w:cs="Arial"/>
          <w:b/>
          <w:bCs/>
          <w:i/>
          <w:iCs/>
          <w:sz w:val="20"/>
        </w:rPr>
        <w:t>The absence of a valid license at the time of Bid submission shall not result in a rejection of the Bid. In case of the absence of this license/permit the Tenderers shall submit with the bid a DOCUMENTS NECESSARY FOR OBTAINING PERMIT FOR URBAN CONSTRUCTION ACTIVITY BY FOREIGN LEGAL PERSONS as per Degree N 79 dated January 19, 2023 of the Government of the REPUBLIC OF ARMENIA, particularly “…</w:t>
      </w:r>
      <w:r w:rsidRPr="00245458">
        <w:rPr>
          <w:rFonts w:ascii="Arial" w:hAnsi="Arial" w:cs="Arial"/>
          <w:i/>
          <w:sz w:val="20"/>
          <w:lang w:val="hy-AM"/>
        </w:rPr>
        <w:t>In order to grant a legal entity a permit for urban development activities, the competent authority submits a petition to the licensing authority, attaching a photocopied version of the original document certifying the right to engage in the type of activity in accordance with the legislation of the given state and an Armenian translation with notarization and submitting a signed and approved application for obtaining a permit by the legal entity in accordance with N 1 form</w:t>
      </w:r>
      <w:r w:rsidRPr="00245458">
        <w:rPr>
          <w:rFonts w:ascii="Arial" w:hAnsi="Arial" w:cs="Arial"/>
          <w:i/>
          <w:sz w:val="20"/>
          <w:lang w:val="en-US"/>
        </w:rPr>
        <w:t>…”</w:t>
      </w:r>
    </w:p>
    <w:p w:rsidR="00772604" w:rsidRPr="00245458" w:rsidRDefault="00772604" w:rsidP="00772604">
      <w:pPr>
        <w:rPr>
          <w:rFonts w:ascii="Arial" w:hAnsi="Arial" w:cs="Arial"/>
          <w:i/>
          <w:sz w:val="20"/>
        </w:rPr>
      </w:pPr>
      <w:r w:rsidRPr="00245458">
        <w:rPr>
          <w:rFonts w:ascii="Arial" w:hAnsi="Arial" w:cs="Arial"/>
          <w:bCs/>
          <w:i/>
          <w:iCs/>
          <w:sz w:val="20"/>
        </w:rPr>
        <w:t>The Notification of Award/Letter of Acceptance will be issue after issuing of the license</w:t>
      </w:r>
      <w:r w:rsidRPr="00245458">
        <w:rPr>
          <w:rFonts w:ascii="MS Gothic" w:eastAsia="MS Gothic" w:hAnsi="MS Gothic" w:cs="MS Gothic" w:hint="eastAsia"/>
          <w:bCs/>
          <w:i/>
          <w:iCs/>
          <w:sz w:val="20"/>
        </w:rPr>
        <w:t>․</w:t>
      </w:r>
      <w:r w:rsidRPr="00245458">
        <w:rPr>
          <w:rFonts w:ascii="Arial" w:hAnsi="Arial" w:cs="Arial"/>
          <w:bCs/>
          <w:i/>
          <w:iCs/>
          <w:sz w:val="20"/>
        </w:rPr>
        <w:t xml:space="preserve"> Failure to provide a valid license by the successful Bidder shall result in the rejection of the Bid.</w:t>
      </w:r>
    </w:p>
    <w:p w:rsidR="00772604" w:rsidRPr="00245458" w:rsidRDefault="00772604" w:rsidP="00772604">
      <w:pPr>
        <w:spacing w:after="200"/>
        <w:ind w:right="-72"/>
        <w:rPr>
          <w:rFonts w:ascii="Arial" w:hAnsi="Arial" w:cs="Arial"/>
          <w:sz w:val="20"/>
        </w:rPr>
      </w:pPr>
    </w:p>
    <w:p w:rsidR="00772604" w:rsidRPr="00245458" w:rsidRDefault="00772604" w:rsidP="00772604">
      <w:pPr>
        <w:spacing w:after="200"/>
        <w:ind w:right="-72"/>
        <w:rPr>
          <w:rFonts w:ascii="Arial" w:hAnsi="Arial" w:cs="Arial"/>
          <w:sz w:val="20"/>
        </w:rPr>
      </w:pPr>
      <w:r w:rsidRPr="00245458">
        <w:rPr>
          <w:rFonts w:ascii="Arial" w:hAnsi="Arial" w:cs="Arial"/>
          <w:sz w:val="20"/>
        </w:rPr>
        <w:t>More details on the qualifying requirements are specified in Part 1 – Section III Evaluation and Qualification Criteria.</w:t>
      </w:r>
    </w:p>
    <w:p w:rsidR="00772604" w:rsidRPr="00245458" w:rsidRDefault="00772604" w:rsidP="00772604">
      <w:pPr>
        <w:spacing w:after="200" w:line="276" w:lineRule="auto"/>
        <w:ind w:right="-72"/>
        <w:rPr>
          <w:rFonts w:ascii="Arial" w:hAnsi="Arial" w:cs="Arial"/>
          <w:sz w:val="20"/>
        </w:rPr>
      </w:pPr>
      <w:r w:rsidRPr="00245458">
        <w:rPr>
          <w:rFonts w:ascii="Arial" w:hAnsi="Arial" w:cs="Arial"/>
          <w:sz w:val="20"/>
        </w:rPr>
        <w:t>A complete set of tender documents (only in electronic format) in English may be obtained by interested eligible bidders free of charge upon the submission of a written application (by e-mail) to the address below (the tender documents will be delivered to the interested bidders via „Files transfer services“.</w:t>
      </w:r>
    </w:p>
    <w:p w:rsidR="00772604" w:rsidRPr="00245458" w:rsidRDefault="00772604" w:rsidP="00772604">
      <w:pPr>
        <w:rPr>
          <w:rFonts w:ascii="Arial" w:hAnsi="Arial" w:cs="Arial"/>
          <w:sz w:val="20"/>
        </w:rPr>
      </w:pPr>
      <w:r w:rsidRPr="00245458">
        <w:rPr>
          <w:rFonts w:ascii="Arial" w:hAnsi="Arial" w:cs="Arial"/>
          <w:sz w:val="20"/>
        </w:rPr>
        <w:t>Water Sector Projects Implementation Branch of Armenian Territorial Development Fund (</w:t>
      </w:r>
      <w:r w:rsidR="00B7330A" w:rsidRPr="00245458">
        <w:rPr>
          <w:rFonts w:ascii="Arial" w:hAnsi="Arial" w:cs="Arial"/>
          <w:sz w:val="20"/>
        </w:rPr>
        <w:t>WS PIB</w:t>
      </w:r>
      <w:r w:rsidR="00B7330A" w:rsidRPr="00245458">
        <w:rPr>
          <w:rFonts w:ascii="Arial" w:hAnsi="Arial" w:cs="Arial"/>
          <w:sz w:val="20"/>
          <w:lang w:val="hy-AM"/>
        </w:rPr>
        <w:t xml:space="preserve"> </w:t>
      </w:r>
      <w:r w:rsidRPr="00245458">
        <w:rPr>
          <w:rFonts w:ascii="Arial" w:hAnsi="Arial" w:cs="Arial"/>
          <w:sz w:val="20"/>
        </w:rPr>
        <w:t>ATDF)</w:t>
      </w:r>
    </w:p>
    <w:p w:rsidR="00772604" w:rsidRPr="00245458" w:rsidRDefault="00772604" w:rsidP="00772604">
      <w:pPr>
        <w:rPr>
          <w:rFonts w:ascii="Arial" w:hAnsi="Arial" w:cs="Arial"/>
          <w:b/>
          <w:sz w:val="20"/>
        </w:rPr>
      </w:pPr>
      <w:proofErr w:type="spellStart"/>
      <w:r w:rsidRPr="00245458">
        <w:rPr>
          <w:rFonts w:ascii="Arial" w:hAnsi="Arial" w:cs="Arial"/>
          <w:b/>
          <w:sz w:val="20"/>
        </w:rPr>
        <w:t>Mr.</w:t>
      </w:r>
      <w:proofErr w:type="spellEnd"/>
      <w:r w:rsidRPr="00245458">
        <w:rPr>
          <w:rFonts w:ascii="Arial" w:hAnsi="Arial" w:cs="Arial"/>
          <w:b/>
          <w:sz w:val="20"/>
        </w:rPr>
        <w:t xml:space="preserve"> Ashot Khachatryan, Director, </w:t>
      </w:r>
    </w:p>
    <w:p w:rsidR="00772604" w:rsidRPr="00245458" w:rsidRDefault="00772604" w:rsidP="00772604">
      <w:pPr>
        <w:rPr>
          <w:rFonts w:ascii="Arial" w:hAnsi="Arial" w:cs="Arial"/>
          <w:sz w:val="20"/>
          <w:lang w:val="pl-PL"/>
        </w:rPr>
      </w:pPr>
      <w:r w:rsidRPr="00245458">
        <w:rPr>
          <w:rFonts w:ascii="Arial" w:hAnsi="Arial" w:cs="Arial"/>
          <w:sz w:val="20"/>
        </w:rPr>
        <w:t xml:space="preserve">Address: </w:t>
      </w:r>
      <w:r w:rsidRPr="00245458">
        <w:rPr>
          <w:rFonts w:ascii="Arial" w:hAnsi="Arial" w:cs="Arial"/>
          <w:sz w:val="20"/>
        </w:rPr>
        <w:tab/>
      </w:r>
      <w:r w:rsidRPr="00245458">
        <w:rPr>
          <w:rFonts w:ascii="Arial" w:hAnsi="Arial" w:cs="Arial"/>
          <w:sz w:val="20"/>
          <w:lang w:val="pl-PL"/>
        </w:rPr>
        <w:t>8 Vardanants Blind Alley (5-th floor), Yerevan 0010, Armenia</w:t>
      </w:r>
    </w:p>
    <w:p w:rsidR="00772604" w:rsidRPr="00245458" w:rsidRDefault="00772604" w:rsidP="00772604">
      <w:pPr>
        <w:rPr>
          <w:rStyle w:val="Hyperlink"/>
          <w:rFonts w:ascii="Arial" w:hAnsi="Arial" w:cs="Arial"/>
          <w:sz w:val="20"/>
          <w:lang w:val="en-US"/>
        </w:rPr>
      </w:pPr>
      <w:r w:rsidRPr="00245458">
        <w:rPr>
          <w:rFonts w:ascii="Arial" w:hAnsi="Arial" w:cs="Arial"/>
          <w:sz w:val="20"/>
        </w:rPr>
        <w:t xml:space="preserve">E-mail address: to: </w:t>
      </w:r>
      <w:hyperlink r:id="rId6" w:history="1">
        <w:r w:rsidRPr="00245458">
          <w:rPr>
            <w:rStyle w:val="Hyperlink"/>
            <w:rFonts w:ascii="Arial" w:hAnsi="Arial" w:cs="Arial"/>
            <w:sz w:val="20"/>
            <w:lang w:val="en-US"/>
          </w:rPr>
          <w:t>reception@wsdp.am</w:t>
        </w:r>
      </w:hyperlink>
      <w:r w:rsidRPr="00245458">
        <w:rPr>
          <w:rFonts w:ascii="Arial" w:hAnsi="Arial" w:cs="Arial"/>
          <w:sz w:val="20"/>
          <w:lang w:val="en-US"/>
        </w:rPr>
        <w:t xml:space="preserve">; cc: </w:t>
      </w:r>
      <w:hyperlink r:id="rId7" w:history="1">
        <w:r w:rsidRPr="00245458">
          <w:rPr>
            <w:rStyle w:val="Hyperlink"/>
            <w:rFonts w:ascii="Arial" w:hAnsi="Arial" w:cs="Arial"/>
            <w:sz w:val="20"/>
            <w:lang w:val="en-US"/>
          </w:rPr>
          <w:t>akhachatryan@wsdp.am</w:t>
        </w:r>
      </w:hyperlink>
      <w:r w:rsidRPr="00245458">
        <w:rPr>
          <w:rStyle w:val="Hyperlink"/>
          <w:rFonts w:ascii="Arial" w:hAnsi="Arial" w:cs="Arial"/>
          <w:sz w:val="20"/>
        </w:rPr>
        <w:t xml:space="preserve">; </w:t>
      </w:r>
      <w:hyperlink r:id="rId8" w:history="1">
        <w:r w:rsidRPr="00245458">
          <w:rPr>
            <w:rStyle w:val="Hyperlink"/>
            <w:rFonts w:ascii="Arial" w:hAnsi="Arial" w:cs="Arial"/>
            <w:sz w:val="20"/>
            <w:lang w:val="en-US"/>
          </w:rPr>
          <w:t>gmatsoyan@atdf.am</w:t>
        </w:r>
      </w:hyperlink>
      <w:r w:rsidRPr="00245458">
        <w:rPr>
          <w:rStyle w:val="Hyperlink"/>
          <w:rFonts w:ascii="Arial" w:hAnsi="Arial" w:cs="Arial"/>
          <w:sz w:val="20"/>
          <w:lang w:val="en-US"/>
        </w:rPr>
        <w:t xml:space="preserve">; </w:t>
      </w:r>
      <w:hyperlink r:id="rId9" w:history="1">
        <w:r w:rsidRPr="00245458">
          <w:rPr>
            <w:rStyle w:val="Hyperlink"/>
            <w:rFonts w:ascii="Arial" w:hAnsi="Arial" w:cs="Arial"/>
            <w:sz w:val="20"/>
            <w:lang w:val="en-US"/>
          </w:rPr>
          <w:t>procurement@atdf.am</w:t>
        </w:r>
      </w:hyperlink>
      <w:r w:rsidRPr="00245458">
        <w:rPr>
          <w:rStyle w:val="Hyperlink"/>
          <w:rFonts w:ascii="Arial" w:hAnsi="Arial" w:cs="Arial"/>
          <w:sz w:val="20"/>
          <w:lang w:val="en-US"/>
        </w:rPr>
        <w:t xml:space="preserve">; zisajanyan@wsdp.am </w:t>
      </w:r>
    </w:p>
    <w:p w:rsidR="00772604" w:rsidRPr="00245458" w:rsidRDefault="00772604" w:rsidP="00772604">
      <w:pPr>
        <w:spacing w:after="200" w:line="276" w:lineRule="auto"/>
        <w:ind w:right="-72"/>
        <w:rPr>
          <w:rFonts w:ascii="Arial" w:hAnsi="Arial" w:cs="Arial"/>
          <w:sz w:val="20"/>
          <w:lang w:val="fr-FR"/>
        </w:rPr>
      </w:pPr>
    </w:p>
    <w:p w:rsidR="00772604" w:rsidRPr="00245458" w:rsidRDefault="00772604" w:rsidP="00772604">
      <w:pPr>
        <w:keepLines/>
        <w:rPr>
          <w:rFonts w:ascii="Arial" w:hAnsi="Arial" w:cs="Arial"/>
          <w:sz w:val="20"/>
        </w:rPr>
      </w:pPr>
      <w:r w:rsidRPr="00245458">
        <w:rPr>
          <w:rFonts w:ascii="Arial" w:hAnsi="Arial" w:cs="Arial"/>
          <w:sz w:val="20"/>
        </w:rPr>
        <w:t>All tenders must be accompanied by a tender security of</w:t>
      </w:r>
      <w:r w:rsidRPr="00245458">
        <w:rPr>
          <w:rFonts w:ascii="Arial" w:hAnsi="Arial" w:cs="Arial"/>
          <w:b/>
          <w:sz w:val="20"/>
        </w:rPr>
        <w:t>: USD 30,000.0 (thirty thousand)</w:t>
      </w:r>
      <w:r w:rsidRPr="00245458">
        <w:rPr>
          <w:rFonts w:ascii="Arial" w:hAnsi="Arial" w:cs="Arial"/>
          <w:sz w:val="20"/>
        </w:rPr>
        <w:t xml:space="preserve"> or its equivalent in another convertible currency or Armenian Dram. The equivalent of the tender security amount shall be calculated at the exchange rate of the Central Bank of Armenia on the date of 28 days prior to the deadline for submission of tenders</w:t>
      </w:r>
      <w:r w:rsidRPr="00245458">
        <w:rPr>
          <w:rFonts w:ascii="Arial" w:hAnsi="Arial" w:cs="Arial"/>
          <w:b/>
          <w:sz w:val="20"/>
        </w:rPr>
        <w:t>.</w:t>
      </w:r>
    </w:p>
    <w:p w:rsidR="00772604" w:rsidRPr="00245458" w:rsidRDefault="00772604" w:rsidP="00772604">
      <w:pPr>
        <w:keepLines/>
        <w:ind w:left="240"/>
        <w:rPr>
          <w:rFonts w:ascii="Arial" w:hAnsi="Arial" w:cs="Arial"/>
          <w:sz w:val="20"/>
        </w:rPr>
      </w:pPr>
    </w:p>
    <w:p w:rsidR="00DE7213" w:rsidRPr="00245458" w:rsidRDefault="00DE7213" w:rsidP="00772604">
      <w:pPr>
        <w:suppressAutoHyphens/>
        <w:rPr>
          <w:rFonts w:ascii="Arial" w:hAnsi="Arial" w:cs="Arial"/>
          <w:spacing w:val="-2"/>
          <w:sz w:val="20"/>
          <w:lang w:val="hy-AM"/>
        </w:rPr>
      </w:pPr>
      <w:r w:rsidRPr="00245458">
        <w:rPr>
          <w:rFonts w:ascii="Arial" w:hAnsi="Arial" w:cs="Arial"/>
          <w:spacing w:val="-2"/>
          <w:sz w:val="20"/>
          <w:lang w:val="hy-AM"/>
        </w:rPr>
        <w:t xml:space="preserve">Interested </w:t>
      </w:r>
      <w:r w:rsidRPr="00245458">
        <w:rPr>
          <w:rFonts w:ascii="Arial" w:hAnsi="Arial" w:cs="Arial"/>
          <w:spacing w:val="-2"/>
          <w:sz w:val="20"/>
          <w:lang w:val="en-US"/>
        </w:rPr>
        <w:t>tenderers</w:t>
      </w:r>
      <w:r w:rsidRPr="00245458">
        <w:rPr>
          <w:rFonts w:ascii="Arial" w:hAnsi="Arial" w:cs="Arial"/>
          <w:spacing w:val="-2"/>
          <w:sz w:val="20"/>
          <w:lang w:val="hy-AM"/>
        </w:rPr>
        <w:t xml:space="preserve"> can download the full package</w:t>
      </w:r>
      <w:r w:rsidR="005C5766" w:rsidRPr="00245458">
        <w:rPr>
          <w:rFonts w:ascii="Arial" w:hAnsi="Arial" w:cs="Arial"/>
          <w:spacing w:val="-2"/>
          <w:sz w:val="20"/>
          <w:lang w:val="en-US"/>
        </w:rPr>
        <w:t xml:space="preserve"> from</w:t>
      </w:r>
      <w:r w:rsidRPr="00245458">
        <w:rPr>
          <w:rFonts w:ascii="Arial" w:hAnsi="Arial" w:cs="Arial"/>
          <w:spacing w:val="-2"/>
          <w:sz w:val="20"/>
          <w:lang w:val="hy-AM"/>
        </w:rPr>
        <w:t xml:space="preserve"> </w:t>
      </w:r>
      <w:hyperlink r:id="rId10" w:history="1">
        <w:r w:rsidR="005C5766" w:rsidRPr="00245458">
          <w:rPr>
            <w:rStyle w:val="Hyperlink"/>
            <w:rFonts w:ascii="Arial" w:hAnsi="Arial" w:cs="Arial"/>
            <w:spacing w:val="-2"/>
            <w:sz w:val="20"/>
            <w:lang w:val="hy-AM"/>
          </w:rPr>
          <w:t>www.gnumner.am</w:t>
        </w:r>
      </w:hyperlink>
      <w:r w:rsidR="005C5766" w:rsidRPr="00245458">
        <w:rPr>
          <w:rFonts w:ascii="Arial" w:hAnsi="Arial" w:cs="Arial"/>
          <w:spacing w:val="-2"/>
          <w:sz w:val="20"/>
          <w:lang w:val="en-US"/>
        </w:rPr>
        <w:t xml:space="preserve"> </w:t>
      </w:r>
      <w:r w:rsidRPr="00245458">
        <w:rPr>
          <w:rFonts w:ascii="Arial" w:hAnsi="Arial" w:cs="Arial"/>
          <w:spacing w:val="-2"/>
          <w:sz w:val="20"/>
          <w:lang w:val="hy-AM"/>
        </w:rPr>
        <w:t xml:space="preserve">, </w:t>
      </w:r>
      <w:hyperlink r:id="rId11" w:history="1">
        <w:r w:rsidR="005C5766" w:rsidRPr="00245458">
          <w:rPr>
            <w:rStyle w:val="Hyperlink"/>
            <w:rFonts w:ascii="Arial" w:hAnsi="Arial" w:cs="Arial"/>
            <w:spacing w:val="-2"/>
            <w:sz w:val="20"/>
            <w:lang w:val="hy-AM"/>
          </w:rPr>
          <w:t>www.armeps.am</w:t>
        </w:r>
      </w:hyperlink>
      <w:r w:rsidR="005C5766" w:rsidRPr="00245458">
        <w:rPr>
          <w:rFonts w:ascii="Arial" w:hAnsi="Arial" w:cs="Arial"/>
          <w:spacing w:val="-2"/>
          <w:sz w:val="20"/>
          <w:lang w:val="en-US"/>
        </w:rPr>
        <w:t xml:space="preserve"> </w:t>
      </w:r>
      <w:r w:rsidRPr="00245458">
        <w:rPr>
          <w:rFonts w:ascii="Arial" w:hAnsi="Arial" w:cs="Arial"/>
          <w:spacing w:val="-2"/>
          <w:sz w:val="20"/>
          <w:lang w:val="hy-AM"/>
        </w:rPr>
        <w:t xml:space="preserve"> or </w:t>
      </w:r>
      <w:hyperlink r:id="rId12" w:history="1">
        <w:r w:rsidR="005C5766" w:rsidRPr="00245458">
          <w:rPr>
            <w:rStyle w:val="Hyperlink"/>
            <w:rFonts w:ascii="Arial" w:hAnsi="Arial" w:cs="Arial"/>
            <w:spacing w:val="-2"/>
            <w:sz w:val="20"/>
            <w:lang w:val="hy-AM"/>
          </w:rPr>
          <w:t>www.atdf.am</w:t>
        </w:r>
      </w:hyperlink>
      <w:r w:rsidR="005C5766" w:rsidRPr="00245458">
        <w:rPr>
          <w:rFonts w:ascii="Arial" w:hAnsi="Arial" w:cs="Arial"/>
          <w:spacing w:val="-2"/>
          <w:sz w:val="20"/>
          <w:lang w:val="en-US"/>
        </w:rPr>
        <w:t xml:space="preserve"> websites. A</w:t>
      </w:r>
      <w:r w:rsidRPr="00245458">
        <w:rPr>
          <w:rFonts w:ascii="Arial" w:hAnsi="Arial" w:cs="Arial"/>
          <w:spacing w:val="-2"/>
          <w:sz w:val="20"/>
          <w:lang w:val="hy-AM"/>
        </w:rPr>
        <w:t xml:space="preserve">ny organization can register in the e-procurement system and submit </w:t>
      </w:r>
      <w:r w:rsidR="00B63ED6" w:rsidRPr="00245458">
        <w:rPr>
          <w:rFonts w:ascii="Arial" w:hAnsi="Arial" w:cs="Arial"/>
          <w:spacing w:val="-2"/>
          <w:sz w:val="20"/>
          <w:lang w:val="en-US"/>
        </w:rPr>
        <w:t>a Bid</w:t>
      </w:r>
      <w:r w:rsidRPr="00245458">
        <w:rPr>
          <w:rFonts w:ascii="Arial" w:hAnsi="Arial" w:cs="Arial"/>
          <w:spacing w:val="-2"/>
          <w:sz w:val="20"/>
          <w:lang w:val="hy-AM"/>
        </w:rPr>
        <w:t xml:space="preserve"> through the ARMEPS e-pr</w:t>
      </w:r>
      <w:r w:rsidR="00BB577E" w:rsidRPr="00245458">
        <w:rPr>
          <w:rFonts w:ascii="Arial" w:hAnsi="Arial" w:cs="Arial"/>
          <w:spacing w:val="-2"/>
          <w:sz w:val="20"/>
          <w:lang w:val="hy-AM"/>
        </w:rPr>
        <w:t>ocurement system (www.armeps.am</w:t>
      </w:r>
      <w:r w:rsidRPr="00245458">
        <w:rPr>
          <w:rFonts w:ascii="Arial" w:hAnsi="Arial" w:cs="Arial"/>
          <w:spacing w:val="-2"/>
          <w:sz w:val="20"/>
          <w:lang w:val="hy-AM"/>
        </w:rPr>
        <w:t>):</w:t>
      </w:r>
    </w:p>
    <w:p w:rsidR="00BB577E" w:rsidRPr="00537673" w:rsidRDefault="00E64A3B" w:rsidP="00BB577E">
      <w:pPr>
        <w:suppressAutoHyphens/>
        <w:rPr>
          <w:rFonts w:ascii="Arial" w:hAnsi="Arial" w:cs="Arial"/>
          <w:spacing w:val="-2"/>
          <w:sz w:val="20"/>
          <w:lang w:val="hy-AM"/>
        </w:rPr>
      </w:pPr>
      <w:r w:rsidRPr="00245458">
        <w:rPr>
          <w:rFonts w:ascii="Arial" w:hAnsi="Arial" w:cs="Arial"/>
          <w:spacing w:val="-2"/>
          <w:sz w:val="20"/>
          <w:lang w:val="hy-AM"/>
        </w:rPr>
        <w:t xml:space="preserve">We inform you that </w:t>
      </w:r>
      <w:r w:rsidRPr="00245458">
        <w:rPr>
          <w:rFonts w:ascii="Arial" w:hAnsi="Arial" w:cs="Arial"/>
          <w:spacing w:val="-2"/>
          <w:sz w:val="20"/>
          <w:lang w:val="en-US"/>
        </w:rPr>
        <w:t xml:space="preserve">Armenian </w:t>
      </w:r>
      <w:r w:rsidR="00BB577E" w:rsidRPr="00245458">
        <w:rPr>
          <w:rFonts w:ascii="Arial" w:hAnsi="Arial" w:cs="Arial"/>
          <w:spacing w:val="-2"/>
          <w:sz w:val="20"/>
          <w:lang w:val="hy-AM"/>
        </w:rPr>
        <w:t xml:space="preserve">Territorial Development Fund is not responsible for incorrect or incomplete downloading of the </w:t>
      </w:r>
      <w:r w:rsidR="003A4916" w:rsidRPr="00245458">
        <w:rPr>
          <w:rFonts w:ascii="Arial" w:hAnsi="Arial" w:cs="Arial"/>
          <w:spacing w:val="-2"/>
          <w:sz w:val="20"/>
          <w:lang w:val="en-US"/>
        </w:rPr>
        <w:t>tender</w:t>
      </w:r>
      <w:r w:rsidR="00BB577E" w:rsidRPr="00245458">
        <w:rPr>
          <w:rFonts w:ascii="Arial" w:hAnsi="Arial" w:cs="Arial"/>
          <w:spacing w:val="-2"/>
          <w:sz w:val="20"/>
          <w:lang w:val="hy-AM"/>
        </w:rPr>
        <w:t xml:space="preserve"> package by the </w:t>
      </w:r>
      <w:r w:rsidR="003A4916" w:rsidRPr="00245458">
        <w:rPr>
          <w:rFonts w:ascii="Arial" w:hAnsi="Arial" w:cs="Arial"/>
          <w:spacing w:val="-2"/>
          <w:sz w:val="20"/>
          <w:lang w:val="en-US"/>
        </w:rPr>
        <w:t>tenderer</w:t>
      </w:r>
      <w:r w:rsidR="00BB577E" w:rsidRPr="00245458">
        <w:rPr>
          <w:rFonts w:ascii="Arial" w:hAnsi="Arial" w:cs="Arial"/>
          <w:spacing w:val="-2"/>
          <w:sz w:val="20"/>
          <w:lang w:val="hy-AM"/>
        </w:rPr>
        <w:t xml:space="preserve"> from the above sites, as well as for their release in ca</w:t>
      </w:r>
      <w:r w:rsidR="003A4916" w:rsidRPr="00245458">
        <w:rPr>
          <w:rFonts w:ascii="Arial" w:hAnsi="Arial" w:cs="Arial"/>
          <w:spacing w:val="-2"/>
          <w:sz w:val="20"/>
          <w:lang w:val="hy-AM"/>
        </w:rPr>
        <w:t>se of changes to the in</w:t>
      </w:r>
      <w:r w:rsidR="003A4916" w:rsidRPr="00537673">
        <w:rPr>
          <w:rFonts w:ascii="Arial" w:hAnsi="Arial" w:cs="Arial"/>
          <w:spacing w:val="-2"/>
          <w:sz w:val="20"/>
          <w:lang w:val="hy-AM"/>
        </w:rPr>
        <w:t>vitation.</w:t>
      </w:r>
    </w:p>
    <w:p w:rsidR="00BB577E" w:rsidRPr="00245458" w:rsidRDefault="00BB577E" w:rsidP="00BB577E">
      <w:pPr>
        <w:suppressAutoHyphens/>
        <w:rPr>
          <w:rFonts w:ascii="Arial" w:hAnsi="Arial" w:cs="Arial"/>
          <w:spacing w:val="-2"/>
          <w:sz w:val="20"/>
          <w:lang w:val="hy-AM"/>
        </w:rPr>
      </w:pPr>
      <w:r w:rsidRPr="00537673">
        <w:rPr>
          <w:rFonts w:ascii="Arial" w:hAnsi="Arial" w:cs="Arial"/>
          <w:spacing w:val="-2"/>
          <w:sz w:val="20"/>
          <w:lang w:val="hy-AM"/>
        </w:rPr>
        <w:t>Applications must be su</w:t>
      </w:r>
      <w:r w:rsidR="00E64A3B" w:rsidRPr="00537673">
        <w:rPr>
          <w:rFonts w:ascii="Arial" w:hAnsi="Arial" w:cs="Arial"/>
          <w:spacing w:val="-2"/>
          <w:sz w:val="20"/>
          <w:lang w:val="hy-AM"/>
        </w:rPr>
        <w:t>bmitted only in electronic form</w:t>
      </w:r>
      <w:r w:rsidR="00E64A3B" w:rsidRPr="00537673">
        <w:rPr>
          <w:rFonts w:ascii="Arial" w:hAnsi="Arial" w:cs="Arial"/>
          <w:spacing w:val="-2"/>
          <w:sz w:val="20"/>
          <w:lang w:val="en-US"/>
        </w:rPr>
        <w:t xml:space="preserve"> </w:t>
      </w:r>
      <w:r w:rsidR="00E64A3B" w:rsidRPr="00537673">
        <w:rPr>
          <w:rFonts w:ascii="Arial" w:hAnsi="Arial" w:cs="Arial"/>
          <w:spacing w:val="-2"/>
          <w:sz w:val="20"/>
          <w:lang w:val="hy-AM"/>
        </w:rPr>
        <w:t>through the ARMEPS e-procurement system (</w:t>
      </w:r>
      <w:hyperlink r:id="rId13" w:history="1">
        <w:r w:rsidR="006E757B" w:rsidRPr="00537673">
          <w:rPr>
            <w:rStyle w:val="Hyperlink"/>
            <w:rFonts w:ascii="Arial" w:hAnsi="Arial" w:cs="Arial"/>
            <w:spacing w:val="-2"/>
            <w:sz w:val="20"/>
            <w:lang w:val="hy-AM"/>
          </w:rPr>
          <w:t>www.armeps.am</w:t>
        </w:r>
      </w:hyperlink>
      <w:r w:rsidR="00E64A3B" w:rsidRPr="00537673">
        <w:rPr>
          <w:rFonts w:ascii="Arial" w:hAnsi="Arial" w:cs="Arial"/>
          <w:spacing w:val="-2"/>
          <w:sz w:val="20"/>
          <w:lang w:val="hy-AM"/>
        </w:rPr>
        <w:t>)</w:t>
      </w:r>
      <w:r w:rsidR="006E757B" w:rsidRPr="00537673">
        <w:rPr>
          <w:rFonts w:ascii="Arial" w:hAnsi="Arial" w:cs="Arial"/>
          <w:spacing w:val="-2"/>
          <w:sz w:val="20"/>
          <w:lang w:val="en-US"/>
        </w:rPr>
        <w:t xml:space="preserve"> till </w:t>
      </w:r>
      <w:r w:rsidR="00F62AA9" w:rsidRPr="00537673">
        <w:rPr>
          <w:rFonts w:ascii="Arial" w:hAnsi="Arial" w:cs="Arial"/>
          <w:b/>
          <w:spacing w:val="-2"/>
          <w:sz w:val="20"/>
          <w:lang w:val="en-US"/>
        </w:rPr>
        <w:t xml:space="preserve">August </w:t>
      </w:r>
      <w:r w:rsidR="001511A1" w:rsidRPr="00537673">
        <w:rPr>
          <w:rFonts w:ascii="Arial" w:hAnsi="Arial" w:cs="Arial"/>
          <w:b/>
          <w:spacing w:val="-2"/>
          <w:sz w:val="20"/>
          <w:lang w:val="en-US"/>
        </w:rPr>
        <w:t>17</w:t>
      </w:r>
      <w:r w:rsidR="00F62AA9" w:rsidRPr="00537673">
        <w:rPr>
          <w:rFonts w:ascii="Arial" w:hAnsi="Arial" w:cs="Arial"/>
          <w:b/>
          <w:spacing w:val="-2"/>
          <w:sz w:val="20"/>
          <w:lang w:val="en-US"/>
        </w:rPr>
        <w:t>, 2023</w:t>
      </w:r>
      <w:r w:rsidR="00D85B53" w:rsidRPr="00537673">
        <w:rPr>
          <w:rFonts w:ascii="Arial" w:hAnsi="Arial" w:cs="Arial"/>
          <w:b/>
          <w:spacing w:val="-2"/>
          <w:sz w:val="20"/>
          <w:lang w:val="en-US"/>
        </w:rPr>
        <w:t xml:space="preserve">, at 12:00 </w:t>
      </w:r>
      <w:r w:rsidR="00537673" w:rsidRPr="00537673">
        <w:rPr>
          <w:rFonts w:ascii="Arial" w:hAnsi="Arial" w:cs="Arial"/>
          <w:b/>
          <w:spacing w:val="-2"/>
          <w:sz w:val="20"/>
          <w:lang w:val="en-US"/>
        </w:rPr>
        <w:t>P</w:t>
      </w:r>
      <w:r w:rsidR="00D85B53" w:rsidRPr="00537673">
        <w:rPr>
          <w:rFonts w:ascii="Arial" w:hAnsi="Arial" w:cs="Arial"/>
          <w:b/>
          <w:spacing w:val="-2"/>
          <w:sz w:val="20"/>
          <w:lang w:val="ru-RU"/>
        </w:rPr>
        <w:t>М</w:t>
      </w:r>
      <w:r w:rsidR="00245458" w:rsidRPr="00537673">
        <w:rPr>
          <w:rFonts w:ascii="Arial" w:hAnsi="Arial" w:cs="Arial"/>
          <w:b/>
          <w:spacing w:val="-2"/>
          <w:sz w:val="20"/>
          <w:lang w:val="en-US"/>
        </w:rPr>
        <w:t xml:space="preserve"> (Yerevan time)</w:t>
      </w:r>
      <w:r w:rsidR="00F62AA9" w:rsidRPr="00537673">
        <w:rPr>
          <w:rFonts w:ascii="Arial" w:hAnsi="Arial" w:cs="Arial"/>
          <w:spacing w:val="-2"/>
          <w:sz w:val="20"/>
          <w:lang w:val="en-US"/>
        </w:rPr>
        <w:t>.</w:t>
      </w:r>
      <w:r w:rsidR="006E757B" w:rsidRPr="00537673">
        <w:rPr>
          <w:rFonts w:ascii="Arial" w:hAnsi="Arial" w:cs="Arial"/>
          <w:spacing w:val="-2"/>
          <w:sz w:val="20"/>
          <w:lang w:val="en-US"/>
        </w:rPr>
        <w:t xml:space="preserve"> </w:t>
      </w:r>
      <w:r w:rsidR="00C63A67" w:rsidRPr="00537673">
        <w:rPr>
          <w:rFonts w:ascii="Arial" w:hAnsi="Arial" w:cs="Arial"/>
          <w:spacing w:val="-2"/>
          <w:sz w:val="20"/>
          <w:lang w:val="en-US"/>
        </w:rPr>
        <w:t>The</w:t>
      </w:r>
      <w:r w:rsidR="00B63ED6" w:rsidRPr="00537673">
        <w:rPr>
          <w:rFonts w:ascii="Arial" w:hAnsi="Arial" w:cs="Arial"/>
          <w:spacing w:val="-2"/>
          <w:sz w:val="20"/>
          <w:lang w:val="en-US"/>
        </w:rPr>
        <w:t xml:space="preserve"> Bid</w:t>
      </w:r>
      <w:r w:rsidR="00C63A67" w:rsidRPr="00537673">
        <w:rPr>
          <w:rFonts w:ascii="Arial" w:hAnsi="Arial" w:cs="Arial"/>
          <w:spacing w:val="-2"/>
          <w:sz w:val="20"/>
          <w:lang w:val="en-US"/>
        </w:rPr>
        <w:t>s</w:t>
      </w:r>
      <w:r w:rsidRPr="00537673">
        <w:rPr>
          <w:rFonts w:ascii="Arial" w:hAnsi="Arial" w:cs="Arial"/>
          <w:spacing w:val="-2"/>
          <w:sz w:val="20"/>
          <w:lang w:val="hy-AM"/>
        </w:rPr>
        <w:t xml:space="preserve"> submitted after the deadline for submitting </w:t>
      </w:r>
      <w:r w:rsidR="00B63ED6" w:rsidRPr="00537673">
        <w:rPr>
          <w:rFonts w:ascii="Arial" w:hAnsi="Arial" w:cs="Arial"/>
          <w:spacing w:val="-2"/>
          <w:sz w:val="20"/>
          <w:lang w:val="en-US"/>
        </w:rPr>
        <w:t>Bids</w:t>
      </w:r>
      <w:r w:rsidRPr="00537673">
        <w:rPr>
          <w:rFonts w:ascii="Arial" w:hAnsi="Arial" w:cs="Arial"/>
          <w:spacing w:val="-2"/>
          <w:sz w:val="20"/>
          <w:lang w:val="hy-AM"/>
        </w:rPr>
        <w:t xml:space="preserve"> are not accepted by the system</w:t>
      </w:r>
      <w:r w:rsidRPr="00245458">
        <w:rPr>
          <w:rFonts w:ascii="Arial" w:hAnsi="Arial" w:cs="Arial"/>
          <w:spacing w:val="-2"/>
          <w:sz w:val="20"/>
          <w:lang w:val="hy-AM"/>
        </w:rPr>
        <w:t>.</w:t>
      </w:r>
    </w:p>
    <w:p w:rsidR="00772604" w:rsidRPr="00245458" w:rsidRDefault="00772604" w:rsidP="00772604">
      <w:pPr>
        <w:rPr>
          <w:rFonts w:ascii="Arial" w:hAnsi="Arial" w:cs="Arial"/>
          <w:sz w:val="20"/>
          <w:lang w:val="hy-AM"/>
        </w:rPr>
      </w:pPr>
    </w:p>
    <w:p w:rsidR="001A18C6" w:rsidRPr="00245458" w:rsidRDefault="00772604" w:rsidP="00772604">
      <w:pPr>
        <w:rPr>
          <w:rFonts w:ascii="Arial" w:hAnsi="Arial" w:cs="Arial"/>
          <w:sz w:val="20"/>
          <w:lang w:val="hy-AM"/>
        </w:rPr>
      </w:pPr>
      <w:r w:rsidRPr="00245458">
        <w:rPr>
          <w:rFonts w:ascii="Arial" w:hAnsi="Arial" w:cs="Arial"/>
          <w:sz w:val="20"/>
        </w:rPr>
        <w:t xml:space="preserve">Armenian Territorial Development Fund </w:t>
      </w:r>
    </w:p>
    <w:p w:rsidR="00772604" w:rsidRPr="00245458" w:rsidRDefault="00772604" w:rsidP="00772604">
      <w:pPr>
        <w:rPr>
          <w:rFonts w:ascii="Arial" w:hAnsi="Arial" w:cs="Arial"/>
          <w:sz w:val="20"/>
          <w:lang w:val="pl-PL"/>
        </w:rPr>
      </w:pPr>
      <w:r w:rsidRPr="00245458">
        <w:rPr>
          <w:rFonts w:ascii="Arial" w:hAnsi="Arial" w:cs="Arial"/>
          <w:sz w:val="20"/>
        </w:rPr>
        <w:t xml:space="preserve">Address: </w:t>
      </w:r>
      <w:r w:rsidRPr="00245458">
        <w:rPr>
          <w:rFonts w:ascii="Arial" w:hAnsi="Arial" w:cs="Arial"/>
          <w:sz w:val="20"/>
          <w:lang w:val="pl-PL"/>
        </w:rPr>
        <w:t>room 405, 4th floor, 31, K.Ulnetsi str, Yerevan 0037, Arm</w:t>
      </w:r>
      <w:bookmarkStart w:id="0" w:name="_GoBack"/>
      <w:bookmarkEnd w:id="0"/>
      <w:r w:rsidRPr="00245458">
        <w:rPr>
          <w:rFonts w:ascii="Arial" w:hAnsi="Arial" w:cs="Arial"/>
          <w:sz w:val="20"/>
          <w:lang w:val="pl-PL"/>
        </w:rPr>
        <w:t>enia</w:t>
      </w:r>
    </w:p>
    <w:p w:rsidR="00772604" w:rsidRPr="00245458" w:rsidRDefault="00772604" w:rsidP="00772604">
      <w:pPr>
        <w:rPr>
          <w:rFonts w:ascii="Arial" w:hAnsi="Arial" w:cs="Arial"/>
          <w:sz w:val="20"/>
          <w:u w:val="single"/>
          <w:lang w:val="fr-FR"/>
        </w:rPr>
      </w:pPr>
      <w:r w:rsidRPr="00245458">
        <w:rPr>
          <w:rFonts w:ascii="Arial" w:hAnsi="Arial" w:cs="Arial"/>
          <w:sz w:val="20"/>
        </w:rPr>
        <w:t>E-mail address:</w:t>
      </w:r>
      <w:r w:rsidRPr="00245458">
        <w:rPr>
          <w:rFonts w:ascii="Arial" w:hAnsi="Arial" w:cs="Arial"/>
          <w:sz w:val="20"/>
          <w:lang w:val="en-US"/>
        </w:rPr>
        <w:t xml:space="preserve"> </w:t>
      </w:r>
      <w:hyperlink r:id="rId14" w:history="1">
        <w:r w:rsidRPr="00245458">
          <w:rPr>
            <w:rStyle w:val="Hyperlink"/>
            <w:rFonts w:ascii="Arial" w:hAnsi="Arial" w:cs="Arial"/>
            <w:sz w:val="20"/>
            <w:lang w:val="en-US"/>
          </w:rPr>
          <w:t>atdf@atdf.am</w:t>
        </w:r>
      </w:hyperlink>
      <w:r w:rsidRPr="00245458">
        <w:rPr>
          <w:rFonts w:ascii="Arial" w:hAnsi="Arial" w:cs="Arial"/>
          <w:sz w:val="20"/>
          <w:lang w:val="en-US"/>
        </w:rPr>
        <w:t xml:space="preserve">; </w:t>
      </w:r>
    </w:p>
    <w:p w:rsidR="00772604" w:rsidRPr="00245458" w:rsidRDefault="00772604" w:rsidP="00772604">
      <w:pPr>
        <w:rPr>
          <w:rFonts w:ascii="Arial" w:hAnsi="Arial" w:cs="Arial"/>
          <w:sz w:val="20"/>
        </w:rPr>
      </w:pPr>
    </w:p>
    <w:p w:rsidR="00330A08" w:rsidRPr="00245458" w:rsidRDefault="00772604" w:rsidP="00772604">
      <w:pPr>
        <w:rPr>
          <w:rFonts w:ascii="Arial" w:hAnsi="Arial" w:cs="Arial"/>
          <w:sz w:val="20"/>
        </w:rPr>
      </w:pPr>
      <w:r w:rsidRPr="00245458">
        <w:rPr>
          <w:rFonts w:ascii="Arial" w:hAnsi="Arial" w:cs="Arial"/>
          <w:sz w:val="20"/>
        </w:rPr>
        <w:t>Procurement policies of the Bank, detailed in the EIB European Investment Bank Guide to Procurement (September 31, 2018) which can be found at the following website: www.eib.org.</w:t>
      </w:r>
    </w:p>
    <w:sectPr w:rsidR="00330A08" w:rsidRPr="00245458" w:rsidSect="005E2908">
      <w:type w:val="continuous"/>
      <w:pgSz w:w="11900" w:h="16840"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B72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72163"/>
    <w:multiLevelType w:val="hybridMultilevel"/>
    <w:tmpl w:val="FA24BA5C"/>
    <w:lvl w:ilvl="0" w:tplc="57025DC8">
      <w:start w:val="1"/>
      <w:numFmt w:val="bullet"/>
      <w:lvlText w:val=""/>
      <w:lvlJc w:val="left"/>
      <w:pPr>
        <w:tabs>
          <w:tab w:val="num" w:pos="600"/>
        </w:tabs>
        <w:ind w:left="600" w:hanging="360"/>
      </w:pPr>
      <w:rPr>
        <w:rFonts w:ascii="Symbol" w:hAnsi="Symbol" w:hint="default"/>
        <w:sz w:val="20"/>
        <w:szCs w:val="20"/>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
    <w:nsid w:val="31B06F51"/>
    <w:multiLevelType w:val="hybridMultilevel"/>
    <w:tmpl w:val="D38AD7F4"/>
    <w:lvl w:ilvl="0" w:tplc="2C088EA2">
      <w:start w:val="1"/>
      <w:numFmt w:val="lowerLetter"/>
      <w:lvlText w:val="%1."/>
      <w:lvlJc w:val="left"/>
      <w:pPr>
        <w:tabs>
          <w:tab w:val="num" w:pos="600"/>
        </w:tabs>
        <w:ind w:left="600" w:hanging="360"/>
      </w:pPr>
      <w:rPr>
        <w:rFonts w:ascii="Arial" w:eastAsia="Times New Roman" w:hAnsi="Arial" w:cs="Arial"/>
        <w:sz w:val="20"/>
      </w:rPr>
    </w:lvl>
    <w:lvl w:ilvl="1" w:tplc="08090003">
      <w:start w:val="1"/>
      <w:numFmt w:val="bullet"/>
      <w:lvlText w:val="o"/>
      <w:lvlJc w:val="left"/>
      <w:pPr>
        <w:tabs>
          <w:tab w:val="num" w:pos="1680"/>
        </w:tabs>
        <w:ind w:left="1680" w:hanging="360"/>
      </w:pPr>
      <w:rPr>
        <w:rFonts w:ascii="Courier New" w:hAnsi="Courier New" w:hint="default"/>
      </w:rPr>
    </w:lvl>
    <w:lvl w:ilvl="2" w:tplc="04070017">
      <w:start w:val="1"/>
      <w:numFmt w:val="lowerLetter"/>
      <w:lvlText w:val="%3)"/>
      <w:lvlJc w:val="left"/>
      <w:pPr>
        <w:tabs>
          <w:tab w:val="num" w:pos="2400"/>
        </w:tabs>
        <w:ind w:left="2400" w:hanging="360"/>
      </w:pPr>
      <w:rPr>
        <w:rFonts w:cs="Times New Roman"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EC"/>
    <w:rsid w:val="001511A1"/>
    <w:rsid w:val="001A18C6"/>
    <w:rsid w:val="00245458"/>
    <w:rsid w:val="002B3C92"/>
    <w:rsid w:val="00330A08"/>
    <w:rsid w:val="00374994"/>
    <w:rsid w:val="00385EB8"/>
    <w:rsid w:val="003A4916"/>
    <w:rsid w:val="00483177"/>
    <w:rsid w:val="004A3BF9"/>
    <w:rsid w:val="00515EB4"/>
    <w:rsid w:val="00537673"/>
    <w:rsid w:val="00561B5F"/>
    <w:rsid w:val="005C5766"/>
    <w:rsid w:val="005E2908"/>
    <w:rsid w:val="006B4C8C"/>
    <w:rsid w:val="006E757B"/>
    <w:rsid w:val="00714D75"/>
    <w:rsid w:val="00772604"/>
    <w:rsid w:val="007817C3"/>
    <w:rsid w:val="00784D5E"/>
    <w:rsid w:val="007A0431"/>
    <w:rsid w:val="00891A03"/>
    <w:rsid w:val="008F0BEC"/>
    <w:rsid w:val="00B63ED6"/>
    <w:rsid w:val="00B7330A"/>
    <w:rsid w:val="00BB577E"/>
    <w:rsid w:val="00C63A67"/>
    <w:rsid w:val="00CC43CD"/>
    <w:rsid w:val="00D06576"/>
    <w:rsid w:val="00D21663"/>
    <w:rsid w:val="00D85B53"/>
    <w:rsid w:val="00DE155D"/>
    <w:rsid w:val="00DE7213"/>
    <w:rsid w:val="00E64A3B"/>
    <w:rsid w:val="00ED14CB"/>
    <w:rsid w:val="00F6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04"/>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1. List"/>
    <w:basedOn w:val="Normal"/>
    <w:rsid w:val="00772604"/>
    <w:pPr>
      <w:spacing w:before="120" w:after="120"/>
      <w:ind w:left="1440"/>
    </w:pPr>
    <w:rPr>
      <w:lang w:val="en-US"/>
    </w:rPr>
  </w:style>
  <w:style w:type="character" w:styleId="Hyperlink">
    <w:name w:val="Hyperlink"/>
    <w:uiPriority w:val="99"/>
    <w:rsid w:val="00772604"/>
    <w:rPr>
      <w:color w:val="0000FF"/>
      <w:u w:val="single"/>
    </w:rPr>
  </w:style>
  <w:style w:type="paragraph" w:styleId="ListParagraph">
    <w:name w:val="List Paragraph"/>
    <w:aliases w:val="Citation List,본문(내용),List Paragraph (numbered (a))"/>
    <w:basedOn w:val="Normal"/>
    <w:link w:val="ListParagraphChar"/>
    <w:uiPriority w:val="99"/>
    <w:qFormat/>
    <w:rsid w:val="00772604"/>
    <w:pPr>
      <w:ind w:left="720"/>
      <w:contextualSpacing/>
    </w:pPr>
  </w:style>
  <w:style w:type="character" w:styleId="CommentReference">
    <w:name w:val="annotation reference"/>
    <w:basedOn w:val="DefaultParagraphFont"/>
    <w:uiPriority w:val="99"/>
    <w:semiHidden/>
    <w:unhideWhenUsed/>
    <w:rsid w:val="00772604"/>
    <w:rPr>
      <w:sz w:val="16"/>
      <w:szCs w:val="16"/>
    </w:rPr>
  </w:style>
  <w:style w:type="paragraph" w:styleId="CommentText">
    <w:name w:val="annotation text"/>
    <w:basedOn w:val="Normal"/>
    <w:link w:val="CommentTextChar"/>
    <w:uiPriority w:val="99"/>
    <w:semiHidden/>
    <w:unhideWhenUsed/>
    <w:rsid w:val="00772604"/>
    <w:rPr>
      <w:sz w:val="20"/>
    </w:rPr>
  </w:style>
  <w:style w:type="character" w:customStyle="1" w:styleId="CommentTextChar">
    <w:name w:val="Comment Text Char"/>
    <w:basedOn w:val="DefaultParagraphFont"/>
    <w:link w:val="CommentText"/>
    <w:uiPriority w:val="99"/>
    <w:semiHidden/>
    <w:rsid w:val="00772604"/>
    <w:rPr>
      <w:rFonts w:ascii="Times New Roman" w:eastAsia="Times New Roman" w:hAnsi="Times New Roman" w:cs="Times New Roman"/>
      <w:sz w:val="20"/>
      <w:szCs w:val="20"/>
      <w:lang w:val="en-GB"/>
    </w:rPr>
  </w:style>
  <w:style w:type="paragraph" w:customStyle="1" w:styleId="Style11">
    <w:name w:val="Style 11"/>
    <w:basedOn w:val="Normal"/>
    <w:rsid w:val="00772604"/>
    <w:pPr>
      <w:widowControl w:val="0"/>
      <w:autoSpaceDE w:val="0"/>
      <w:autoSpaceDN w:val="0"/>
      <w:spacing w:line="384" w:lineRule="atLeast"/>
      <w:jc w:val="left"/>
    </w:pPr>
    <w:rPr>
      <w:szCs w:val="24"/>
      <w:lang w:val="en-US"/>
    </w:rPr>
  </w:style>
  <w:style w:type="character" w:customStyle="1" w:styleId="ListParagraphChar">
    <w:name w:val="List Paragraph Char"/>
    <w:aliases w:val="Citation List Char,본문(내용) Char,List Paragraph (numbered (a)) Char"/>
    <w:basedOn w:val="DefaultParagraphFont"/>
    <w:link w:val="ListParagraph"/>
    <w:uiPriority w:val="99"/>
    <w:rsid w:val="00772604"/>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772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604"/>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04"/>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1. List"/>
    <w:basedOn w:val="Normal"/>
    <w:rsid w:val="00772604"/>
    <w:pPr>
      <w:spacing w:before="120" w:after="120"/>
      <w:ind w:left="1440"/>
    </w:pPr>
    <w:rPr>
      <w:lang w:val="en-US"/>
    </w:rPr>
  </w:style>
  <w:style w:type="character" w:styleId="Hyperlink">
    <w:name w:val="Hyperlink"/>
    <w:uiPriority w:val="99"/>
    <w:rsid w:val="00772604"/>
    <w:rPr>
      <w:color w:val="0000FF"/>
      <w:u w:val="single"/>
    </w:rPr>
  </w:style>
  <w:style w:type="paragraph" w:styleId="ListParagraph">
    <w:name w:val="List Paragraph"/>
    <w:aliases w:val="Citation List,본문(내용),List Paragraph (numbered (a))"/>
    <w:basedOn w:val="Normal"/>
    <w:link w:val="ListParagraphChar"/>
    <w:uiPriority w:val="99"/>
    <w:qFormat/>
    <w:rsid w:val="00772604"/>
    <w:pPr>
      <w:ind w:left="720"/>
      <w:contextualSpacing/>
    </w:pPr>
  </w:style>
  <w:style w:type="character" w:styleId="CommentReference">
    <w:name w:val="annotation reference"/>
    <w:basedOn w:val="DefaultParagraphFont"/>
    <w:uiPriority w:val="99"/>
    <w:semiHidden/>
    <w:unhideWhenUsed/>
    <w:rsid w:val="00772604"/>
    <w:rPr>
      <w:sz w:val="16"/>
      <w:szCs w:val="16"/>
    </w:rPr>
  </w:style>
  <w:style w:type="paragraph" w:styleId="CommentText">
    <w:name w:val="annotation text"/>
    <w:basedOn w:val="Normal"/>
    <w:link w:val="CommentTextChar"/>
    <w:uiPriority w:val="99"/>
    <w:semiHidden/>
    <w:unhideWhenUsed/>
    <w:rsid w:val="00772604"/>
    <w:rPr>
      <w:sz w:val="20"/>
    </w:rPr>
  </w:style>
  <w:style w:type="character" w:customStyle="1" w:styleId="CommentTextChar">
    <w:name w:val="Comment Text Char"/>
    <w:basedOn w:val="DefaultParagraphFont"/>
    <w:link w:val="CommentText"/>
    <w:uiPriority w:val="99"/>
    <w:semiHidden/>
    <w:rsid w:val="00772604"/>
    <w:rPr>
      <w:rFonts w:ascii="Times New Roman" w:eastAsia="Times New Roman" w:hAnsi="Times New Roman" w:cs="Times New Roman"/>
      <w:sz w:val="20"/>
      <w:szCs w:val="20"/>
      <w:lang w:val="en-GB"/>
    </w:rPr>
  </w:style>
  <w:style w:type="paragraph" w:customStyle="1" w:styleId="Style11">
    <w:name w:val="Style 11"/>
    <w:basedOn w:val="Normal"/>
    <w:rsid w:val="00772604"/>
    <w:pPr>
      <w:widowControl w:val="0"/>
      <w:autoSpaceDE w:val="0"/>
      <w:autoSpaceDN w:val="0"/>
      <w:spacing w:line="384" w:lineRule="atLeast"/>
      <w:jc w:val="left"/>
    </w:pPr>
    <w:rPr>
      <w:szCs w:val="24"/>
      <w:lang w:val="en-US"/>
    </w:rPr>
  </w:style>
  <w:style w:type="character" w:customStyle="1" w:styleId="ListParagraphChar">
    <w:name w:val="List Paragraph Char"/>
    <w:aliases w:val="Citation List Char,본문(내용) Char,List Paragraph (numbered (a)) Char"/>
    <w:basedOn w:val="DefaultParagraphFont"/>
    <w:link w:val="ListParagraph"/>
    <w:uiPriority w:val="99"/>
    <w:rsid w:val="00772604"/>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772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60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tsoyan@atdf.am" TargetMode="External"/><Relationship Id="rId13" Type="http://schemas.openxmlformats.org/officeDocument/2006/relationships/hyperlink" Target="http://www.armeps.am" TargetMode="External"/><Relationship Id="rId3" Type="http://schemas.microsoft.com/office/2007/relationships/stylesWithEffects" Target="stylesWithEffects.xml"/><Relationship Id="rId7" Type="http://schemas.openxmlformats.org/officeDocument/2006/relationships/hyperlink" Target="mailto:akhachatryan@wsdp.am" TargetMode="External"/><Relationship Id="rId12" Type="http://schemas.openxmlformats.org/officeDocument/2006/relationships/hyperlink" Target="http://www.atdf.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ception@wsdp.am" TargetMode="Externa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numner.am" TargetMode="External"/><Relationship Id="rId4" Type="http://schemas.openxmlformats.org/officeDocument/2006/relationships/settings" Target="settings.xml"/><Relationship Id="rId9" Type="http://schemas.openxmlformats.org/officeDocument/2006/relationships/hyperlink" Target="mailto:procurement@atdf.am" TargetMode="External"/><Relationship Id="rId14" Type="http://schemas.openxmlformats.org/officeDocument/2006/relationships/hyperlink" Target="mailto:atdf@atdf.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Gurgen Matsoyan</dc:creator>
  <cp:keywords/>
  <dc:description/>
  <cp:lastModifiedBy>Areg Yeghiyan</cp:lastModifiedBy>
  <cp:revision>9</cp:revision>
  <dcterms:created xsi:type="dcterms:W3CDTF">2023-07-12T13:22:00Z</dcterms:created>
  <dcterms:modified xsi:type="dcterms:W3CDTF">2023-07-17T13:47:00Z</dcterms:modified>
</cp:coreProperties>
</file>